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hd w:val="clear" w:color="auto" w:fill="FFFFFF"/>
        <w:kinsoku/>
        <w:wordWrap/>
        <w:overflowPunct/>
        <w:topLinePunct w:val="0"/>
        <w:autoSpaceDE/>
        <w:autoSpaceDN/>
        <w:bidi w:val="0"/>
        <w:adjustRightInd/>
        <w:snapToGrid/>
        <w:spacing w:line="600" w:lineRule="exact"/>
        <w:jc w:val="center"/>
        <w:textAlignment w:val="auto"/>
        <w:rPr>
          <w:rFonts w:hint="eastAsia" w:ascii="方正小标宋简体" w:eastAsia="方正小标宋简体" w:hAnsiTheme="majorEastAsia" w:cstheme="majorEastAsia"/>
          <w:bCs/>
          <w:kern w:val="0"/>
          <w:sz w:val="44"/>
          <w:szCs w:val="44"/>
          <w:shd w:val="clear" w:color="auto" w:fill="FFFFFF"/>
        </w:rPr>
      </w:pPr>
      <w:r>
        <w:rPr>
          <w:rFonts w:hint="eastAsia" w:ascii="方正小标宋简体" w:eastAsia="方正小标宋简体" w:hAnsiTheme="majorEastAsia" w:cstheme="majorEastAsia"/>
          <w:bCs/>
          <w:kern w:val="0"/>
          <w:sz w:val="44"/>
          <w:szCs w:val="44"/>
          <w:shd w:val="clear" w:color="auto" w:fill="FFFFFF"/>
        </w:rPr>
        <w:t>安福县财政局关于对</w:t>
      </w:r>
      <w:r>
        <w:rPr>
          <w:rFonts w:hint="eastAsia" w:ascii="方正小标宋简体" w:eastAsia="方正小标宋简体" w:hAnsiTheme="majorEastAsia" w:cstheme="majorEastAsia"/>
          <w:bCs/>
          <w:kern w:val="0"/>
          <w:sz w:val="44"/>
          <w:szCs w:val="44"/>
          <w:shd w:val="clear" w:color="auto" w:fill="FFFFFF"/>
          <w:lang w:val="en-US" w:eastAsia="zh-CN"/>
        </w:rPr>
        <w:t>安福县住房保障服务中心</w:t>
      </w:r>
      <w:r>
        <w:rPr>
          <w:rFonts w:hint="eastAsia" w:ascii="方正小标宋简体" w:eastAsia="方正小标宋简体" w:hAnsiTheme="majorEastAsia" w:cstheme="majorEastAsia"/>
          <w:bCs/>
          <w:kern w:val="0"/>
          <w:sz w:val="44"/>
          <w:szCs w:val="44"/>
          <w:shd w:val="clear" w:color="auto" w:fill="FFFFFF"/>
        </w:rPr>
        <w:t>的行政处罚</w:t>
      </w:r>
      <w:r>
        <w:rPr>
          <w:rFonts w:hint="eastAsia" w:ascii="方正小标宋简体" w:eastAsia="方正小标宋简体" w:hAnsiTheme="majorEastAsia" w:cstheme="majorEastAsia"/>
          <w:bCs/>
          <w:kern w:val="0"/>
          <w:sz w:val="44"/>
          <w:szCs w:val="44"/>
          <w:shd w:val="clear" w:color="auto" w:fill="FFFFFF"/>
          <w:lang w:val="en-US" w:eastAsia="zh-CN"/>
        </w:rPr>
        <w:t>决定</w:t>
      </w:r>
      <w:r>
        <w:rPr>
          <w:rFonts w:hint="eastAsia" w:ascii="方正小标宋简体" w:eastAsia="方正小标宋简体" w:hAnsiTheme="majorEastAsia" w:cstheme="majorEastAsia"/>
          <w:bCs/>
          <w:kern w:val="0"/>
          <w:sz w:val="44"/>
          <w:szCs w:val="44"/>
          <w:shd w:val="clear" w:color="auto" w:fill="FFFFFF"/>
        </w:rPr>
        <w:t>书</w:t>
      </w:r>
    </w:p>
    <w:p>
      <w:pPr>
        <w:keepNext w:val="0"/>
        <w:keepLines w:val="0"/>
        <w:pageBreakBefore w:val="0"/>
        <w:widowControl/>
        <w:shd w:val="clear" w:color="auto" w:fill="FFFFFF"/>
        <w:kinsoku/>
        <w:wordWrap/>
        <w:overflowPunct/>
        <w:topLinePunct w:val="0"/>
        <w:autoSpaceDE/>
        <w:autoSpaceDN/>
        <w:bidi w:val="0"/>
        <w:adjustRightInd/>
        <w:snapToGrid/>
        <w:spacing w:line="600" w:lineRule="exact"/>
        <w:jc w:val="center"/>
        <w:textAlignment w:val="auto"/>
        <w:rPr>
          <w:rFonts w:hint="default" w:ascii="方正小标宋简体" w:eastAsia="仿宋_GB2312" w:hAnsiTheme="majorEastAsia" w:cstheme="majorEastAsia"/>
          <w:color w:val="333333"/>
          <w:sz w:val="44"/>
          <w:szCs w:val="44"/>
          <w:shd w:val="clear" w:color="auto" w:fill="FFFFFF"/>
          <w:lang w:val="en-US" w:eastAsia="zh-CN"/>
        </w:rPr>
      </w:pPr>
    </w:p>
    <w:p>
      <w:pPr>
        <w:pStyle w:val="2"/>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40" w:lineRule="exact"/>
        <w:jc w:val="both"/>
        <w:textAlignment w:val="auto"/>
        <w:rPr>
          <w:rFonts w:hint="default" w:ascii="仿宋_GB2312" w:hAnsi="仿宋" w:eastAsia="仿宋_GB2312" w:cs="仿宋"/>
          <w:bCs/>
          <w:color w:val="333333"/>
          <w:sz w:val="32"/>
          <w:szCs w:val="32"/>
          <w:shd w:val="clear" w:color="auto" w:fill="FFFFFF"/>
          <w:lang w:val="en-US" w:eastAsia="zh-CN"/>
        </w:rPr>
      </w:pPr>
      <w:r>
        <w:rPr>
          <w:rFonts w:hint="eastAsia" w:ascii="仿宋_GB2312" w:hAnsi="仿宋" w:eastAsia="仿宋_GB2312" w:cs="仿宋"/>
          <w:bCs/>
          <w:color w:val="333333"/>
          <w:sz w:val="32"/>
          <w:szCs w:val="32"/>
          <w:shd w:val="clear" w:color="auto" w:fill="FFFFFF"/>
        </w:rPr>
        <w:t>当 事 人:</w:t>
      </w:r>
      <w:r>
        <w:rPr>
          <w:rFonts w:hint="eastAsia" w:ascii="仿宋_GB2312" w:hAnsi="仿宋" w:eastAsia="仿宋_GB2312" w:cs="仿宋"/>
          <w:bCs/>
          <w:color w:val="333333"/>
          <w:sz w:val="32"/>
          <w:szCs w:val="32"/>
          <w:shd w:val="clear" w:color="auto" w:fill="FFFFFF"/>
          <w:lang w:val="en-US" w:eastAsia="zh-CN"/>
        </w:rPr>
        <w:t>安福县住房保障服务中心</w:t>
      </w:r>
    </w:p>
    <w:p>
      <w:pPr>
        <w:pStyle w:val="2"/>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40" w:lineRule="exact"/>
        <w:jc w:val="both"/>
        <w:textAlignment w:val="auto"/>
        <w:rPr>
          <w:rFonts w:hint="eastAsia" w:ascii="仿宋_GB2312" w:hAnsi="仿宋" w:eastAsia="仿宋_GB2312" w:cs="仿宋"/>
          <w:color w:val="333333"/>
          <w:sz w:val="32"/>
          <w:szCs w:val="32"/>
          <w:shd w:val="clear" w:color="auto" w:fill="FFFFFF"/>
        </w:rPr>
      </w:pPr>
      <w:r>
        <w:rPr>
          <w:rFonts w:hint="eastAsia" w:ascii="仿宋_GB2312" w:hAnsi="仿宋" w:eastAsia="仿宋_GB2312" w:cs="仿宋"/>
          <w:color w:val="333333"/>
          <w:sz w:val="32"/>
          <w:szCs w:val="32"/>
          <w:shd w:val="clear" w:color="auto" w:fill="FFFFFF"/>
        </w:rPr>
        <w:t>联系地址：安福县文塔路天安家园西侧约70米</w:t>
      </w:r>
    </w:p>
    <w:p>
      <w:pPr>
        <w:pStyle w:val="2"/>
        <w:keepNext w:val="0"/>
        <w:keepLines w:val="0"/>
        <w:pageBreakBefore w:val="0"/>
        <w:widowControl/>
        <w:numPr>
          <w:ilvl w:val="0"/>
          <w:numId w:val="1"/>
        </w:numPr>
        <w:shd w:val="clear" w:color="auto" w:fill="FFFFFF"/>
        <w:kinsoku/>
        <w:wordWrap/>
        <w:overflowPunct/>
        <w:topLinePunct w:val="0"/>
        <w:autoSpaceDE/>
        <w:autoSpaceDN/>
        <w:bidi w:val="0"/>
        <w:adjustRightInd/>
        <w:snapToGrid/>
        <w:spacing w:beforeAutospacing="0" w:afterAutospacing="0" w:line="540" w:lineRule="exact"/>
        <w:ind w:firstLine="640" w:firstLineChars="200"/>
        <w:jc w:val="both"/>
        <w:textAlignment w:val="auto"/>
        <w:rPr>
          <w:rFonts w:ascii="黑体" w:hAnsi="黑体" w:eastAsia="黑体" w:cs="黑体"/>
          <w:color w:val="333333"/>
          <w:sz w:val="32"/>
          <w:szCs w:val="32"/>
          <w:shd w:val="clear" w:color="auto" w:fill="FFFFFF"/>
        </w:rPr>
      </w:pPr>
      <w:r>
        <w:rPr>
          <w:rFonts w:hint="eastAsia" w:ascii="黑体" w:hAnsi="黑体" w:eastAsia="黑体" w:cs="黑体"/>
          <w:color w:val="333333"/>
          <w:sz w:val="32"/>
          <w:szCs w:val="32"/>
          <w:shd w:val="clear" w:color="auto" w:fill="FFFFFF"/>
        </w:rPr>
        <w:t>违法事实</w:t>
      </w:r>
      <w:r>
        <w:rPr>
          <w:rFonts w:hint="eastAsia" w:ascii="黑体" w:hAnsi="黑体" w:eastAsia="黑体" w:cs="黑体"/>
          <w:color w:val="333333"/>
          <w:sz w:val="32"/>
          <w:szCs w:val="32"/>
          <w:shd w:val="clear" w:color="auto" w:fill="FFFFFF"/>
          <w:lang w:eastAsia="zh-CN"/>
        </w:rPr>
        <w:t>和依据</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640" w:firstLineChars="200"/>
        <w:jc w:val="left"/>
        <w:textAlignment w:val="auto"/>
        <w:rPr>
          <w:rFonts w:hint="eastAsia" w:ascii="仿宋_GB2312" w:hAnsi="仿宋" w:eastAsia="仿宋_GB2312" w:cs="仿宋"/>
          <w:bCs/>
          <w:color w:val="000000"/>
          <w:sz w:val="32"/>
          <w:szCs w:val="32"/>
          <w:shd w:val="clear" w:color="auto" w:fill="FFFFFF"/>
          <w:lang w:eastAsia="zh-CN"/>
        </w:rPr>
      </w:pPr>
      <w:r>
        <w:rPr>
          <w:rFonts w:hint="eastAsia" w:ascii="仿宋_GB2312" w:hAnsi="宋体" w:eastAsia="仿宋_GB2312"/>
          <w:color w:val="000000"/>
          <w:sz w:val="32"/>
          <w:szCs w:val="32"/>
        </w:rPr>
        <w:t>根据</w:t>
      </w:r>
      <w:r>
        <w:rPr>
          <w:rFonts w:hint="eastAsia" w:ascii="仿宋_GB2312" w:hAnsi="楷体_GB2312" w:eastAsia="仿宋_GB2312" w:cs="楷体_GB2312"/>
          <w:sz w:val="32"/>
          <w:szCs w:val="32"/>
          <w:lang w:val="en-US" w:eastAsia="zh-CN"/>
        </w:rPr>
        <w:t>代理机构考核和</w:t>
      </w:r>
      <w:r>
        <w:rPr>
          <w:rFonts w:hint="eastAsia" w:ascii="仿宋_GB2312" w:hAnsi="楷体_GB2312" w:eastAsia="仿宋_GB2312" w:cs="楷体_GB2312"/>
          <w:sz w:val="32"/>
          <w:szCs w:val="32"/>
        </w:rPr>
        <w:t>招标投标领域专项整治</w:t>
      </w:r>
      <w:r>
        <w:rPr>
          <w:rFonts w:hint="eastAsia" w:ascii="仿宋_GB2312" w:hAnsi="楷体_GB2312" w:eastAsia="仿宋_GB2312" w:cs="楷体_GB2312"/>
          <w:sz w:val="32"/>
          <w:szCs w:val="32"/>
          <w:lang w:val="en-US" w:eastAsia="zh-CN"/>
        </w:rPr>
        <w:t>方案</w:t>
      </w:r>
      <w:r>
        <w:rPr>
          <w:rFonts w:hint="eastAsia" w:ascii="仿宋_GB2312" w:hAnsi="楷体_GB2312" w:eastAsia="仿宋_GB2312" w:cs="楷体_GB2312"/>
          <w:sz w:val="32"/>
          <w:szCs w:val="32"/>
        </w:rPr>
        <w:t>，检查组对</w:t>
      </w:r>
      <w:r>
        <w:rPr>
          <w:rFonts w:hint="eastAsia" w:ascii="仿宋_GB2312" w:hAnsi="仿宋" w:eastAsia="仿宋_GB2312" w:cs="仿宋"/>
          <w:bCs/>
          <w:color w:val="333333"/>
          <w:sz w:val="32"/>
          <w:szCs w:val="32"/>
          <w:shd w:val="clear" w:color="auto" w:fill="FFFFFF"/>
        </w:rPr>
        <w:t>你</w:t>
      </w:r>
      <w:r>
        <w:rPr>
          <w:rFonts w:hint="eastAsia" w:ascii="仿宋_GB2312" w:hAnsi="仿宋" w:eastAsia="仿宋_GB2312" w:cs="仿宋"/>
          <w:bCs/>
          <w:color w:val="333333"/>
          <w:sz w:val="32"/>
          <w:szCs w:val="32"/>
          <w:shd w:val="clear" w:color="auto" w:fill="FFFFFF"/>
          <w:lang w:val="en-US" w:eastAsia="zh-CN"/>
        </w:rPr>
        <w:t>单位</w:t>
      </w:r>
      <w:r>
        <w:rPr>
          <w:rFonts w:hint="eastAsia" w:ascii="仿宋_GB2312" w:hAnsi="仿宋" w:eastAsia="仿宋_GB2312" w:cs="仿宋"/>
          <w:bCs/>
          <w:color w:val="333333"/>
          <w:sz w:val="32"/>
          <w:szCs w:val="32"/>
          <w:shd w:val="clear" w:color="auto" w:fill="FFFFFF"/>
        </w:rPr>
        <w:t>的安福县公园路西侧小区棚户区改造安置项目电梯采购</w:t>
      </w:r>
      <w:r>
        <w:rPr>
          <w:rFonts w:hint="eastAsia" w:ascii="仿宋_GB2312" w:hAnsi="仿宋" w:eastAsia="仿宋_GB2312" w:cs="仿宋"/>
          <w:bCs/>
          <w:color w:val="333333"/>
          <w:sz w:val="32"/>
          <w:szCs w:val="32"/>
          <w:shd w:val="clear" w:color="auto" w:fill="FFFFFF"/>
          <w:lang w:val="en-US" w:eastAsia="zh-CN"/>
        </w:rPr>
        <w:t>（项目编号：【JXRC(JA)-2021-CG26】）</w:t>
      </w:r>
      <w:r>
        <w:rPr>
          <w:rFonts w:hint="eastAsia" w:ascii="仿宋_GB2312" w:hAnsi="仿宋" w:eastAsia="仿宋_GB2312" w:cs="仿宋"/>
          <w:bCs/>
          <w:color w:val="000000"/>
          <w:sz w:val="32"/>
          <w:szCs w:val="32"/>
          <w:shd w:val="clear" w:color="auto" w:fill="FFFFFF"/>
        </w:rPr>
        <w:t>进行了检查，</w:t>
      </w:r>
      <w:r>
        <w:rPr>
          <w:rFonts w:hint="eastAsia" w:ascii="仿宋_GB2312" w:hAnsi="仿宋" w:eastAsia="仿宋_GB2312" w:cs="仿宋"/>
          <w:bCs/>
          <w:color w:val="000000"/>
          <w:sz w:val="32"/>
          <w:szCs w:val="32"/>
          <w:shd w:val="clear" w:color="auto" w:fill="FFFFFF"/>
          <w:lang w:eastAsia="zh-CN"/>
        </w:rPr>
        <w:t>发现存在以下问题：</w:t>
      </w:r>
    </w:p>
    <w:p>
      <w:pPr>
        <w:keepNext w:val="0"/>
        <w:keepLines w:val="0"/>
        <w:pageBreakBefore w:val="0"/>
        <w:numPr>
          <w:ilvl w:val="0"/>
          <w:numId w:val="0"/>
        </w:numPr>
        <w:kinsoku/>
        <w:wordWrap/>
        <w:overflowPunct/>
        <w:topLinePunct w:val="0"/>
        <w:autoSpaceDE/>
        <w:autoSpaceDN/>
        <w:bidi w:val="0"/>
        <w:adjustRightInd/>
        <w:snapToGrid/>
        <w:spacing w:line="540" w:lineRule="exact"/>
        <w:ind w:firstLine="640" w:firstLineChars="200"/>
        <w:textAlignment w:val="auto"/>
        <w:rPr>
          <w:rFonts w:hint="eastAsia" w:ascii="仿宋_GB2312" w:hAnsi="仿宋" w:eastAsia="仿宋_GB2312" w:cs="仿宋"/>
          <w:bCs/>
          <w:color w:val="333333"/>
          <w:kern w:val="0"/>
          <w:sz w:val="32"/>
          <w:szCs w:val="32"/>
          <w:shd w:val="clear" w:color="auto" w:fill="FFFFFF"/>
          <w:lang w:val="en-US" w:eastAsia="zh-CN" w:bidi="ar-SA"/>
        </w:rPr>
      </w:pPr>
      <w:r>
        <w:rPr>
          <w:rFonts w:hint="eastAsia" w:ascii="仿宋_GB2312" w:hAnsi="仿宋" w:eastAsia="仿宋_GB2312" w:cs="仿宋"/>
          <w:bCs/>
          <w:color w:val="333333"/>
          <w:kern w:val="0"/>
          <w:sz w:val="32"/>
          <w:szCs w:val="32"/>
          <w:shd w:val="clear" w:color="auto" w:fill="FFFFFF"/>
          <w:lang w:val="en-US" w:eastAsia="zh-CN" w:bidi="ar-SA"/>
        </w:rPr>
        <w:t>1.投标保证金未在法定期限内退还，违反了</w:t>
      </w:r>
      <w:r>
        <w:rPr>
          <w:rFonts w:hint="eastAsia" w:ascii="仿宋_GB2312" w:hAnsi="仿宋" w:eastAsia="仿宋_GB2312" w:cs="仿宋"/>
          <w:bCs/>
          <w:color w:val="000000"/>
          <w:sz w:val="32"/>
          <w:szCs w:val="32"/>
          <w:shd w:val="clear" w:color="auto" w:fill="FFFFFF"/>
          <w:lang w:eastAsia="zh-CN"/>
        </w:rPr>
        <w:t>《中华人民共和国</w:t>
      </w:r>
      <w:r>
        <w:rPr>
          <w:rFonts w:hint="eastAsia" w:ascii="仿宋_GB2312" w:hAnsi="仿宋" w:eastAsia="仿宋_GB2312" w:cs="仿宋"/>
          <w:bCs/>
          <w:color w:val="000000"/>
          <w:sz w:val="32"/>
          <w:szCs w:val="32"/>
          <w:shd w:val="clear" w:color="auto" w:fill="FFFFFF"/>
        </w:rPr>
        <w:t>政府采购法实施条例</w:t>
      </w:r>
      <w:r>
        <w:rPr>
          <w:rFonts w:hint="eastAsia" w:ascii="仿宋_GB2312" w:hAnsi="仿宋" w:eastAsia="仿宋_GB2312" w:cs="仿宋"/>
          <w:bCs/>
          <w:color w:val="000000"/>
          <w:sz w:val="32"/>
          <w:szCs w:val="32"/>
          <w:shd w:val="clear" w:color="auto" w:fill="FFFFFF"/>
          <w:lang w:eastAsia="zh-CN"/>
        </w:rPr>
        <w:t>》</w:t>
      </w:r>
      <w:r>
        <w:rPr>
          <w:rFonts w:hint="eastAsia" w:ascii="仿宋_GB2312" w:hAnsi="仿宋" w:eastAsia="仿宋_GB2312" w:cs="仿宋"/>
          <w:bCs/>
          <w:color w:val="333333"/>
          <w:kern w:val="0"/>
          <w:sz w:val="32"/>
          <w:szCs w:val="32"/>
          <w:shd w:val="clear" w:color="auto" w:fill="FFFFFF"/>
          <w:lang w:val="en-US" w:eastAsia="zh-CN" w:bidi="ar-SA"/>
        </w:rPr>
        <w:t>第三十三条、《政府采购货物和服务招标投标管理办法》（财政部令第87号）第三十八条。</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 w:eastAsia="仿宋_GB2312" w:cs="仿宋"/>
          <w:bCs/>
          <w:color w:val="333333"/>
          <w:kern w:val="0"/>
          <w:sz w:val="32"/>
          <w:szCs w:val="32"/>
          <w:shd w:val="clear" w:color="auto" w:fill="FFFFFF"/>
          <w:lang w:val="en-US" w:eastAsia="zh-CN" w:bidi="ar-SA"/>
        </w:rPr>
      </w:pPr>
      <w:r>
        <w:rPr>
          <w:rFonts w:hint="eastAsia" w:ascii="仿宋_GB2312" w:hAnsi="仿宋" w:eastAsia="仿宋_GB2312" w:cs="仿宋"/>
          <w:bCs/>
          <w:color w:val="333333"/>
          <w:kern w:val="0"/>
          <w:sz w:val="32"/>
          <w:szCs w:val="32"/>
          <w:shd w:val="clear" w:color="auto" w:fill="FFFFFF"/>
          <w:lang w:val="en-US" w:eastAsia="zh-CN" w:bidi="ar-SA"/>
        </w:rPr>
        <w:t>2.资格条件中将未按规定形式提供资格审查文件材料的作无效投标处理，违反了《</w:t>
      </w:r>
      <w:r>
        <w:rPr>
          <w:rFonts w:hint="eastAsia" w:ascii="仿宋_GB2312" w:hAnsi="仿宋" w:eastAsia="仿宋_GB2312" w:cs="仿宋"/>
          <w:bCs/>
          <w:color w:val="000000"/>
          <w:sz w:val="32"/>
          <w:szCs w:val="32"/>
          <w:shd w:val="clear" w:color="auto" w:fill="FFFFFF"/>
          <w:lang w:val="en-US" w:eastAsia="zh-CN"/>
        </w:rPr>
        <w:t>财政部关于促进政府采购公平竞争优化营商环境的通知</w:t>
      </w:r>
      <w:r>
        <w:rPr>
          <w:rFonts w:hint="eastAsia" w:ascii="仿宋_GB2312" w:hAnsi="仿宋" w:eastAsia="仿宋_GB2312" w:cs="仿宋"/>
          <w:bCs/>
          <w:color w:val="333333"/>
          <w:kern w:val="0"/>
          <w:sz w:val="32"/>
          <w:szCs w:val="32"/>
          <w:shd w:val="clear" w:color="auto" w:fill="FFFFFF"/>
          <w:lang w:val="en-US" w:eastAsia="zh-CN" w:bidi="ar-SA"/>
        </w:rPr>
        <w:t>》（财库</w:t>
      </w:r>
      <w:r>
        <w:rPr>
          <w:rFonts w:hint="eastAsia" w:ascii="微软雅黑" w:hAnsi="微软雅黑" w:eastAsia="微软雅黑" w:cs="微软雅黑"/>
          <w:bCs/>
          <w:color w:val="333333"/>
          <w:kern w:val="0"/>
          <w:sz w:val="32"/>
          <w:szCs w:val="32"/>
          <w:shd w:val="clear" w:color="auto" w:fill="FFFFFF"/>
          <w:lang w:val="en-US" w:eastAsia="zh-CN" w:bidi="ar-SA"/>
        </w:rPr>
        <w:t>〔</w:t>
      </w:r>
      <w:r>
        <w:rPr>
          <w:rFonts w:hint="eastAsia" w:ascii="仿宋_GB2312" w:hAnsi="仿宋" w:eastAsia="仿宋_GB2312" w:cs="仿宋"/>
          <w:bCs/>
          <w:color w:val="333333"/>
          <w:kern w:val="0"/>
          <w:sz w:val="32"/>
          <w:szCs w:val="32"/>
          <w:shd w:val="clear" w:color="auto" w:fill="FFFFFF"/>
          <w:lang w:val="en-US" w:eastAsia="zh-CN" w:bidi="ar-SA"/>
        </w:rPr>
        <w:t>2019</w:t>
      </w:r>
      <w:r>
        <w:rPr>
          <w:rFonts w:hint="eastAsia" w:ascii="微软雅黑" w:hAnsi="微软雅黑" w:eastAsia="微软雅黑" w:cs="微软雅黑"/>
          <w:bCs/>
          <w:color w:val="333333"/>
          <w:kern w:val="0"/>
          <w:sz w:val="32"/>
          <w:szCs w:val="32"/>
          <w:shd w:val="clear" w:color="auto" w:fill="FFFFFF"/>
          <w:lang w:val="en-US" w:eastAsia="zh-CN" w:bidi="ar-SA"/>
        </w:rPr>
        <w:t>〕</w:t>
      </w:r>
      <w:r>
        <w:rPr>
          <w:rFonts w:hint="eastAsia" w:ascii="仿宋_GB2312" w:hAnsi="仿宋" w:eastAsia="仿宋_GB2312" w:cs="仿宋"/>
          <w:bCs/>
          <w:color w:val="333333"/>
          <w:kern w:val="0"/>
          <w:sz w:val="32"/>
          <w:szCs w:val="32"/>
          <w:shd w:val="clear" w:color="auto" w:fill="FFFFFF"/>
          <w:lang w:val="en-US" w:eastAsia="zh-CN" w:bidi="ar-SA"/>
        </w:rPr>
        <w:t>38号）的规定。</w:t>
      </w:r>
    </w:p>
    <w:p>
      <w:pPr>
        <w:keepNext w:val="0"/>
        <w:keepLines w:val="0"/>
        <w:pageBreakBefore w:val="0"/>
        <w:numPr>
          <w:ilvl w:val="0"/>
          <w:numId w:val="0"/>
        </w:numPr>
        <w:kinsoku/>
        <w:wordWrap/>
        <w:overflowPunct/>
        <w:topLinePunct w:val="0"/>
        <w:autoSpaceDE/>
        <w:autoSpaceDN/>
        <w:bidi w:val="0"/>
        <w:adjustRightInd/>
        <w:snapToGrid/>
        <w:spacing w:line="540" w:lineRule="exact"/>
        <w:ind w:firstLine="640" w:firstLineChars="200"/>
        <w:textAlignment w:val="auto"/>
        <w:rPr>
          <w:rFonts w:hint="eastAsia" w:ascii="仿宋_GB2312" w:hAnsi="仿宋" w:eastAsia="仿宋_GB2312" w:cs="仿宋"/>
          <w:bCs/>
          <w:color w:val="333333"/>
          <w:kern w:val="0"/>
          <w:sz w:val="32"/>
          <w:szCs w:val="32"/>
          <w:shd w:val="clear" w:color="auto" w:fill="FFFFFF"/>
          <w:lang w:val="en-US" w:eastAsia="zh-CN" w:bidi="ar-SA"/>
        </w:rPr>
      </w:pPr>
      <w:r>
        <w:rPr>
          <w:rFonts w:hint="eastAsia" w:ascii="仿宋_GB2312" w:hAnsi="仿宋" w:eastAsia="仿宋_GB2312" w:cs="仿宋"/>
          <w:bCs/>
          <w:color w:val="333333"/>
          <w:kern w:val="0"/>
          <w:sz w:val="32"/>
          <w:szCs w:val="32"/>
          <w:shd w:val="clear" w:color="auto" w:fill="FFFFFF"/>
          <w:lang w:val="en-US" w:eastAsia="zh-CN" w:bidi="ar-SA"/>
        </w:rPr>
        <w:t>3.商务评分未细化量化,违反了</w:t>
      </w:r>
      <w:r>
        <w:rPr>
          <w:rFonts w:hint="eastAsia" w:ascii="仿宋_GB2312" w:hAnsi="仿宋" w:eastAsia="仿宋_GB2312" w:cs="仿宋"/>
          <w:bCs/>
          <w:color w:val="000000"/>
          <w:sz w:val="32"/>
          <w:szCs w:val="32"/>
          <w:shd w:val="clear" w:color="auto" w:fill="FFFFFF"/>
          <w:lang w:eastAsia="zh-CN"/>
        </w:rPr>
        <w:t>《中华人民共和国</w:t>
      </w:r>
      <w:r>
        <w:rPr>
          <w:rFonts w:hint="eastAsia" w:ascii="仿宋_GB2312" w:hAnsi="仿宋" w:eastAsia="仿宋_GB2312" w:cs="仿宋"/>
          <w:bCs/>
          <w:color w:val="000000"/>
          <w:sz w:val="32"/>
          <w:szCs w:val="32"/>
          <w:shd w:val="clear" w:color="auto" w:fill="FFFFFF"/>
        </w:rPr>
        <w:t>政府采购法实施条例</w:t>
      </w:r>
      <w:r>
        <w:rPr>
          <w:rFonts w:hint="eastAsia" w:ascii="仿宋_GB2312" w:hAnsi="仿宋" w:eastAsia="仿宋_GB2312" w:cs="仿宋"/>
          <w:bCs/>
          <w:color w:val="000000"/>
          <w:sz w:val="32"/>
          <w:szCs w:val="32"/>
          <w:shd w:val="clear" w:color="auto" w:fill="FFFFFF"/>
          <w:lang w:eastAsia="zh-CN"/>
        </w:rPr>
        <w:t>》</w:t>
      </w:r>
      <w:r>
        <w:rPr>
          <w:rFonts w:hint="eastAsia" w:ascii="仿宋_GB2312" w:hAnsi="仿宋" w:eastAsia="仿宋_GB2312" w:cs="仿宋"/>
          <w:bCs/>
          <w:color w:val="333333"/>
          <w:kern w:val="0"/>
          <w:sz w:val="32"/>
          <w:szCs w:val="32"/>
          <w:shd w:val="clear" w:color="auto" w:fill="FFFFFF"/>
          <w:lang w:val="en-US" w:eastAsia="zh-CN" w:bidi="ar-SA"/>
        </w:rPr>
        <w:t>第三十四条、《政府采购货物和服务招标投标管理办法》（财政部令第87号）第五十五条。</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default" w:ascii="仿宋_GB2312" w:hAnsi="仿宋" w:eastAsia="仿宋_GB2312" w:cs="仿宋"/>
          <w:bCs/>
          <w:color w:val="333333"/>
          <w:kern w:val="0"/>
          <w:sz w:val="32"/>
          <w:szCs w:val="32"/>
          <w:shd w:val="clear" w:color="auto" w:fill="FFFFFF"/>
          <w:lang w:val="en-US" w:eastAsia="zh-CN" w:bidi="ar-SA"/>
        </w:rPr>
      </w:pPr>
      <w:r>
        <w:rPr>
          <w:rFonts w:hint="eastAsia" w:ascii="仿宋_GB2312" w:hAnsi="仿宋" w:eastAsia="仿宋_GB2312" w:cs="仿宋"/>
          <w:bCs/>
          <w:color w:val="333333"/>
          <w:kern w:val="0"/>
          <w:sz w:val="32"/>
          <w:szCs w:val="32"/>
          <w:shd w:val="clear" w:color="auto" w:fill="FFFFFF"/>
          <w:lang w:val="en-US" w:eastAsia="zh-CN" w:bidi="ar-SA"/>
        </w:rPr>
        <w:t>4.合同未在法定期限在省网公示，违反了</w:t>
      </w:r>
      <w:r>
        <w:rPr>
          <w:rFonts w:hint="eastAsia" w:ascii="仿宋_GB2312" w:hAnsi="仿宋_GB2312" w:eastAsia="仿宋_GB2312" w:cs="仿宋_GB2312"/>
          <w:color w:val="000000"/>
          <w:sz w:val="32"/>
          <w:szCs w:val="32"/>
          <w:lang w:val="en-US" w:eastAsia="zh-CN"/>
        </w:rPr>
        <w:t>《中华人民共和国政府采购法实施条例》第五十条、《关于做好政府采购信息公开工作的通知》（财库</w:t>
      </w:r>
      <w:r>
        <w:rPr>
          <w:rFonts w:hint="eastAsia" w:ascii="微软雅黑" w:hAnsi="微软雅黑" w:eastAsia="微软雅黑" w:cs="微软雅黑"/>
          <w:bCs/>
          <w:color w:val="333333"/>
          <w:kern w:val="0"/>
          <w:sz w:val="32"/>
          <w:szCs w:val="32"/>
          <w:shd w:val="clear" w:color="auto" w:fill="FFFFFF"/>
          <w:lang w:val="en-US" w:eastAsia="zh-CN" w:bidi="ar-SA"/>
        </w:rPr>
        <w:t>〔</w:t>
      </w:r>
      <w:r>
        <w:rPr>
          <w:rFonts w:hint="eastAsia" w:ascii="仿宋_GB2312" w:hAnsi="仿宋" w:eastAsia="仿宋_GB2312" w:cs="仿宋"/>
          <w:bCs/>
          <w:color w:val="333333"/>
          <w:kern w:val="0"/>
          <w:sz w:val="32"/>
          <w:szCs w:val="32"/>
          <w:shd w:val="clear" w:color="auto" w:fill="FFFFFF"/>
          <w:lang w:val="en-US" w:eastAsia="zh-CN" w:bidi="ar-SA"/>
        </w:rPr>
        <w:t>2015</w:t>
      </w:r>
      <w:r>
        <w:rPr>
          <w:rFonts w:hint="eastAsia" w:ascii="微软雅黑" w:hAnsi="微软雅黑" w:eastAsia="微软雅黑" w:cs="微软雅黑"/>
          <w:bCs/>
          <w:color w:val="333333"/>
          <w:kern w:val="0"/>
          <w:sz w:val="32"/>
          <w:szCs w:val="32"/>
          <w:shd w:val="clear" w:color="auto" w:fill="FFFFFF"/>
          <w:lang w:val="en-US" w:eastAsia="zh-CN" w:bidi="ar-SA"/>
        </w:rPr>
        <w:t>〕</w:t>
      </w:r>
      <w:r>
        <w:rPr>
          <w:rFonts w:hint="eastAsia" w:ascii="仿宋_GB2312" w:hAnsi="仿宋" w:eastAsia="仿宋_GB2312" w:cs="仿宋"/>
          <w:bCs/>
          <w:color w:val="333333"/>
          <w:kern w:val="0"/>
          <w:sz w:val="32"/>
          <w:szCs w:val="32"/>
          <w:shd w:val="clear" w:color="auto" w:fill="FFFFFF"/>
          <w:lang w:val="en-US" w:eastAsia="zh-CN" w:bidi="ar-SA"/>
        </w:rPr>
        <w:t>135号</w:t>
      </w:r>
      <w:r>
        <w:rPr>
          <w:rFonts w:hint="eastAsia" w:ascii="仿宋_GB2312" w:hAnsi="仿宋_GB2312" w:eastAsia="仿宋_GB2312" w:cs="仿宋_GB2312"/>
          <w:color w:val="000000"/>
          <w:sz w:val="32"/>
          <w:szCs w:val="32"/>
          <w:lang w:val="en-US" w:eastAsia="zh-CN"/>
        </w:rPr>
        <w:t>）。</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 w:eastAsia="仿宋_GB2312" w:cs="仿宋"/>
          <w:bCs/>
          <w:color w:val="333333"/>
          <w:kern w:val="0"/>
          <w:sz w:val="32"/>
          <w:szCs w:val="32"/>
          <w:shd w:val="clear" w:color="auto" w:fill="FFFFFF"/>
          <w:lang w:val="en-US" w:eastAsia="zh-CN" w:bidi="ar-SA"/>
        </w:rPr>
      </w:pPr>
      <w:r>
        <w:rPr>
          <w:rFonts w:hint="eastAsia" w:ascii="仿宋_GB2312" w:hAnsi="仿宋" w:eastAsia="仿宋_GB2312" w:cs="仿宋"/>
          <w:bCs/>
          <w:color w:val="333333"/>
          <w:kern w:val="0"/>
          <w:sz w:val="32"/>
          <w:szCs w:val="32"/>
          <w:shd w:val="clear" w:color="auto" w:fill="FFFFFF"/>
          <w:lang w:val="en-US" w:eastAsia="zh-CN" w:bidi="ar-SA"/>
        </w:rPr>
        <w:t>5.招标文件未载明合同文本，只载明合同主要条款，违反了《政府采购货物和服务招标投标管理办法》（财政部令第87号）第二十条。</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 w:eastAsia="仿宋_GB2312" w:cs="仿宋"/>
          <w:bCs/>
          <w:color w:val="333333"/>
          <w:kern w:val="0"/>
          <w:sz w:val="32"/>
          <w:szCs w:val="32"/>
          <w:shd w:val="clear" w:color="auto" w:fill="FFFFFF"/>
          <w:lang w:val="en-US" w:eastAsia="zh-CN" w:bidi="ar-SA"/>
        </w:rPr>
      </w:pPr>
      <w:r>
        <w:rPr>
          <w:rFonts w:hint="eastAsia" w:ascii="仿宋_GB2312" w:hAnsi="仿宋" w:eastAsia="仿宋_GB2312" w:cs="仿宋"/>
          <w:bCs/>
          <w:color w:val="333333"/>
          <w:kern w:val="0"/>
          <w:sz w:val="32"/>
          <w:szCs w:val="32"/>
          <w:shd w:val="clear" w:color="auto" w:fill="FFFFFF"/>
          <w:lang w:val="en-US" w:eastAsia="zh-CN" w:bidi="ar-SA"/>
        </w:rPr>
        <w:t>6.评审专家组成不符合法律规定。预算金额1110万，评审委员会应由7人组成，该项目评审委员会只有5人，违反了《政府采购货物和服务招标投标管理办法》（财政部令第87号）第四十七条第二款。</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黑体" w:hAnsi="黑体" w:eastAsia="黑体" w:cs="仿宋"/>
          <w:color w:val="000000"/>
          <w:sz w:val="32"/>
          <w:szCs w:val="32"/>
          <w:lang w:val="en-US" w:eastAsia="zh-CN"/>
        </w:rPr>
      </w:pPr>
      <w:r>
        <w:rPr>
          <w:rFonts w:hint="eastAsia" w:ascii="黑体" w:hAnsi="黑体" w:eastAsia="黑体" w:cs="仿宋"/>
          <w:color w:val="000000"/>
          <w:sz w:val="32"/>
          <w:szCs w:val="32"/>
        </w:rPr>
        <w:t>二、</w:t>
      </w:r>
      <w:r>
        <w:rPr>
          <w:rFonts w:hint="eastAsia" w:ascii="黑体" w:hAnsi="黑体" w:eastAsia="黑体" w:cs="仿宋"/>
          <w:color w:val="000000"/>
          <w:sz w:val="32"/>
          <w:szCs w:val="32"/>
          <w:lang w:eastAsia="zh-CN"/>
        </w:rPr>
        <w:t>作出的</w:t>
      </w:r>
      <w:r>
        <w:rPr>
          <w:rFonts w:hint="eastAsia" w:ascii="黑体" w:hAnsi="黑体" w:eastAsia="黑体" w:cs="仿宋"/>
          <w:color w:val="000000"/>
          <w:sz w:val="32"/>
          <w:szCs w:val="32"/>
          <w:lang w:val="en-US" w:eastAsia="zh-CN"/>
        </w:rPr>
        <w:t>行政处罚决定</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 w:eastAsia="仿宋_GB2312" w:cs="仿宋"/>
          <w:bCs/>
          <w:color w:val="000000"/>
          <w:sz w:val="32"/>
          <w:szCs w:val="32"/>
          <w:shd w:val="clear" w:color="auto" w:fill="FFFFFF"/>
          <w:lang w:val="en-US" w:eastAsia="zh-CN"/>
        </w:rPr>
      </w:pPr>
      <w:r>
        <w:rPr>
          <w:rFonts w:hint="eastAsia" w:ascii="仿宋_GB2312" w:hAnsi="仿宋_GB2312" w:eastAsia="仿宋_GB2312" w:cs="仿宋_GB2312"/>
          <w:color w:val="000000"/>
          <w:sz w:val="32"/>
          <w:szCs w:val="32"/>
          <w:lang w:val="en-US" w:eastAsia="zh-CN"/>
        </w:rPr>
        <w:t>根据《中华人民共和国政府采购法》第71条、第78条，</w:t>
      </w:r>
      <w:r>
        <w:rPr>
          <w:rFonts w:hint="eastAsia" w:ascii="仿宋_GB2312" w:hAnsi="仿宋" w:eastAsia="仿宋_GB2312" w:cs="仿宋"/>
          <w:bCs/>
          <w:color w:val="000000"/>
          <w:sz w:val="32"/>
          <w:szCs w:val="32"/>
          <w:shd w:val="clear" w:color="auto" w:fill="FFFFFF"/>
          <w:lang w:eastAsia="zh-CN"/>
        </w:rPr>
        <w:t>《中华人民共和国</w:t>
      </w:r>
      <w:r>
        <w:rPr>
          <w:rFonts w:hint="eastAsia" w:ascii="仿宋_GB2312" w:hAnsi="仿宋" w:eastAsia="仿宋_GB2312" w:cs="仿宋"/>
          <w:bCs/>
          <w:color w:val="000000"/>
          <w:sz w:val="32"/>
          <w:szCs w:val="32"/>
          <w:shd w:val="clear" w:color="auto" w:fill="FFFFFF"/>
        </w:rPr>
        <w:t>政府采购法实施条例</w:t>
      </w:r>
      <w:r>
        <w:rPr>
          <w:rFonts w:hint="eastAsia" w:ascii="仿宋_GB2312" w:hAnsi="仿宋" w:eastAsia="仿宋_GB2312" w:cs="仿宋"/>
          <w:bCs/>
          <w:color w:val="000000"/>
          <w:sz w:val="32"/>
          <w:szCs w:val="32"/>
          <w:shd w:val="clear" w:color="auto" w:fill="FFFFFF"/>
          <w:lang w:eastAsia="zh-CN"/>
        </w:rPr>
        <w:t>》</w:t>
      </w:r>
      <w:r>
        <w:rPr>
          <w:rFonts w:hint="eastAsia" w:ascii="仿宋_GB2312" w:hAnsi="仿宋" w:eastAsia="仿宋_GB2312" w:cs="仿宋"/>
          <w:bCs/>
          <w:color w:val="000000"/>
          <w:sz w:val="32"/>
          <w:szCs w:val="32"/>
          <w:shd w:val="clear" w:color="auto" w:fill="FFFFFF"/>
          <w:lang w:val="en-US" w:eastAsia="zh-CN"/>
        </w:rPr>
        <w:t>第66条、第67条、第68条、第72条，</w:t>
      </w:r>
      <w:r>
        <w:rPr>
          <w:rFonts w:hint="eastAsia" w:ascii="仿宋_GB2312" w:hAnsi="仿宋" w:eastAsia="仿宋_GB2312" w:cs="仿宋"/>
          <w:bCs/>
          <w:color w:val="333333"/>
          <w:kern w:val="0"/>
          <w:sz w:val="32"/>
          <w:szCs w:val="32"/>
          <w:shd w:val="clear" w:color="auto" w:fill="FFFFFF"/>
          <w:lang w:val="en-US" w:eastAsia="zh-CN" w:bidi="ar-SA"/>
        </w:rPr>
        <w:t>《政府采购货物和服务招标投标管理办法》（财政部令第87号）第78条，《</w:t>
      </w:r>
      <w:r>
        <w:rPr>
          <w:rFonts w:hint="eastAsia" w:ascii="仿宋_GB2312" w:hAnsi="仿宋" w:eastAsia="仿宋_GB2312" w:cs="仿宋"/>
          <w:bCs/>
          <w:color w:val="000000"/>
          <w:sz w:val="32"/>
          <w:szCs w:val="32"/>
          <w:shd w:val="clear" w:color="auto" w:fill="FFFFFF"/>
          <w:lang w:val="en-US" w:eastAsia="zh-CN"/>
        </w:rPr>
        <w:t>财政部关于促进政府采购公平竞争优化营商环境的通知</w:t>
      </w:r>
      <w:r>
        <w:rPr>
          <w:rFonts w:hint="eastAsia" w:ascii="仿宋_GB2312" w:hAnsi="仿宋" w:eastAsia="仿宋_GB2312" w:cs="仿宋"/>
          <w:bCs/>
          <w:color w:val="333333"/>
          <w:kern w:val="0"/>
          <w:sz w:val="32"/>
          <w:szCs w:val="32"/>
          <w:shd w:val="clear" w:color="auto" w:fill="FFFFFF"/>
          <w:lang w:val="en-US" w:eastAsia="zh-CN" w:bidi="ar-SA"/>
        </w:rPr>
        <w:t>》（财库</w:t>
      </w:r>
      <w:r>
        <w:rPr>
          <w:rFonts w:hint="eastAsia" w:ascii="微软雅黑" w:hAnsi="微软雅黑" w:eastAsia="微软雅黑" w:cs="微软雅黑"/>
          <w:bCs/>
          <w:color w:val="333333"/>
          <w:kern w:val="0"/>
          <w:sz w:val="32"/>
          <w:szCs w:val="32"/>
          <w:shd w:val="clear" w:color="auto" w:fill="FFFFFF"/>
          <w:lang w:val="en-US" w:eastAsia="zh-CN" w:bidi="ar-SA"/>
        </w:rPr>
        <w:t>〔</w:t>
      </w:r>
      <w:r>
        <w:rPr>
          <w:rFonts w:hint="eastAsia" w:ascii="仿宋_GB2312" w:hAnsi="仿宋" w:eastAsia="仿宋_GB2312" w:cs="仿宋"/>
          <w:bCs/>
          <w:color w:val="333333"/>
          <w:kern w:val="0"/>
          <w:sz w:val="32"/>
          <w:szCs w:val="32"/>
          <w:shd w:val="clear" w:color="auto" w:fill="FFFFFF"/>
          <w:lang w:val="en-US" w:eastAsia="zh-CN" w:bidi="ar-SA"/>
        </w:rPr>
        <w:t>2019</w:t>
      </w:r>
      <w:r>
        <w:rPr>
          <w:rFonts w:hint="eastAsia" w:ascii="微软雅黑" w:hAnsi="微软雅黑" w:eastAsia="微软雅黑" w:cs="微软雅黑"/>
          <w:bCs/>
          <w:color w:val="333333"/>
          <w:kern w:val="0"/>
          <w:sz w:val="32"/>
          <w:szCs w:val="32"/>
          <w:shd w:val="clear" w:color="auto" w:fill="FFFFFF"/>
          <w:lang w:val="en-US" w:eastAsia="zh-CN" w:bidi="ar-SA"/>
        </w:rPr>
        <w:t>〕</w:t>
      </w:r>
      <w:r>
        <w:rPr>
          <w:rFonts w:hint="eastAsia" w:ascii="仿宋_GB2312" w:hAnsi="仿宋" w:eastAsia="仿宋_GB2312" w:cs="仿宋"/>
          <w:bCs/>
          <w:color w:val="333333"/>
          <w:kern w:val="0"/>
          <w:sz w:val="32"/>
          <w:szCs w:val="32"/>
          <w:shd w:val="clear" w:color="auto" w:fill="FFFFFF"/>
          <w:lang w:val="en-US" w:eastAsia="zh-CN" w:bidi="ar-SA"/>
        </w:rPr>
        <w:t>38号）</w:t>
      </w:r>
      <w:r>
        <w:rPr>
          <w:rFonts w:hint="eastAsia" w:ascii="仿宋_GB2312" w:hAnsi="仿宋" w:eastAsia="仿宋_GB2312" w:cs="仿宋"/>
          <w:bCs/>
          <w:color w:val="000000"/>
          <w:sz w:val="32"/>
          <w:szCs w:val="32"/>
          <w:shd w:val="clear" w:color="auto" w:fill="FFFFFF"/>
          <w:lang w:val="en-US" w:eastAsia="zh-CN"/>
        </w:rPr>
        <w:t>的规定，本机关</w:t>
      </w:r>
      <w:r>
        <w:rPr>
          <w:rFonts w:hint="eastAsia" w:ascii="仿宋_GB2312" w:hAnsi="仿宋" w:eastAsia="仿宋_GB2312" w:cs="仿宋"/>
          <w:color w:val="000000"/>
          <w:sz w:val="32"/>
          <w:szCs w:val="32"/>
        </w:rPr>
        <w:t>对你</w:t>
      </w:r>
      <w:r>
        <w:rPr>
          <w:rFonts w:hint="eastAsia" w:ascii="仿宋_GB2312" w:hAnsi="仿宋" w:eastAsia="仿宋_GB2312" w:cs="仿宋"/>
          <w:color w:val="000000"/>
          <w:sz w:val="32"/>
          <w:szCs w:val="32"/>
          <w:lang w:val="en-US" w:eastAsia="zh-CN"/>
        </w:rPr>
        <w:t>单位</w:t>
      </w:r>
      <w:r>
        <w:rPr>
          <w:rFonts w:hint="eastAsia" w:ascii="仿宋_GB2312" w:hAnsi="仿宋" w:eastAsia="仿宋_GB2312" w:cs="仿宋"/>
          <w:color w:val="000000"/>
          <w:sz w:val="32"/>
          <w:szCs w:val="32"/>
        </w:rPr>
        <w:t>作出以下</w:t>
      </w:r>
      <w:r>
        <w:rPr>
          <w:rFonts w:hint="eastAsia" w:ascii="仿宋_GB2312" w:hAnsi="仿宋" w:eastAsia="仿宋_GB2312" w:cs="仿宋"/>
          <w:color w:val="000000"/>
          <w:sz w:val="32"/>
          <w:szCs w:val="32"/>
          <w:lang w:val="en-US" w:eastAsia="zh-CN"/>
        </w:rPr>
        <w:t>处罚</w:t>
      </w:r>
      <w:r>
        <w:rPr>
          <w:rFonts w:hint="eastAsia" w:ascii="仿宋_GB2312" w:hAnsi="仿宋" w:eastAsia="仿宋_GB2312" w:cs="仿宋"/>
          <w:color w:val="000000"/>
          <w:sz w:val="32"/>
          <w:szCs w:val="32"/>
        </w:rPr>
        <w:t>决定：</w:t>
      </w:r>
      <w:r>
        <w:rPr>
          <w:rFonts w:hint="eastAsia" w:ascii="仿宋_GB2312" w:hAnsi="仿宋" w:eastAsia="仿宋_GB2312" w:cs="仿宋"/>
          <w:bCs/>
          <w:color w:val="000000"/>
          <w:sz w:val="32"/>
          <w:szCs w:val="32"/>
          <w:shd w:val="clear" w:color="auto" w:fill="FFFFFF"/>
          <w:lang w:val="en-US" w:eastAsia="zh-CN"/>
        </w:rPr>
        <w:t>责令限期改正、给予警告。</w:t>
      </w:r>
    </w:p>
    <w:p>
      <w:pPr>
        <w:keepNext w:val="0"/>
        <w:keepLines w:val="0"/>
        <w:pageBreakBefore w:val="0"/>
        <w:numPr>
          <w:ilvl w:val="0"/>
          <w:numId w:val="0"/>
        </w:numPr>
        <w:kinsoku/>
        <w:wordWrap/>
        <w:overflowPunct/>
        <w:topLinePunct w:val="0"/>
        <w:autoSpaceDE/>
        <w:autoSpaceDN/>
        <w:bidi w:val="0"/>
        <w:adjustRightInd/>
        <w:snapToGrid/>
        <w:spacing w:line="540" w:lineRule="exact"/>
        <w:ind w:leftChars="200" w:firstLine="320" w:firstLineChars="100"/>
        <w:textAlignment w:val="auto"/>
        <w:rPr>
          <w:rFonts w:hint="eastAsia" w:ascii="黑体" w:hAnsi="黑体" w:eastAsia="黑体" w:cs="黑体"/>
          <w:sz w:val="32"/>
          <w:szCs w:val="32"/>
        </w:rPr>
      </w:pPr>
      <w:r>
        <w:rPr>
          <w:rFonts w:hint="eastAsia" w:ascii="黑体" w:hAnsi="黑体" w:eastAsia="黑体" w:cs="黑体"/>
          <w:color w:val="000000"/>
          <w:sz w:val="32"/>
          <w:szCs w:val="32"/>
          <w:lang w:val="en-US" w:eastAsia="zh-CN"/>
        </w:rPr>
        <w:t>三、</w:t>
      </w:r>
      <w:r>
        <w:rPr>
          <w:rFonts w:hint="eastAsia" w:ascii="黑体" w:hAnsi="黑体" w:eastAsia="黑体" w:cs="黑体"/>
          <w:sz w:val="32"/>
          <w:szCs w:val="32"/>
        </w:rPr>
        <w:t>权利告知</w:t>
      </w:r>
    </w:p>
    <w:p>
      <w:pPr>
        <w:keepNext w:val="0"/>
        <w:keepLines w:val="0"/>
        <w:pageBreakBefore w:val="0"/>
        <w:kinsoku/>
        <w:overflowPunct/>
        <w:topLinePunct w:val="0"/>
        <w:autoSpaceDE/>
        <w:autoSpaceDN/>
        <w:bidi w:val="0"/>
        <w:adjustRightInd/>
        <w:snapToGrid/>
        <w:spacing w:line="64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 w:hAnsi="仿宋" w:eastAsia="仿宋"/>
          <w:color w:val="000000"/>
          <w:sz w:val="32"/>
          <w:szCs w:val="32"/>
          <w:lang w:eastAsia="zh-CN"/>
        </w:rPr>
        <w:t>本决定</w:t>
      </w:r>
      <w:r>
        <w:rPr>
          <w:rFonts w:hint="eastAsia" w:ascii="仿宋" w:hAnsi="仿宋" w:eastAsia="仿宋"/>
          <w:color w:val="000000"/>
          <w:sz w:val="32"/>
          <w:szCs w:val="32"/>
          <w:lang w:val="en-US" w:eastAsia="zh-CN"/>
        </w:rPr>
        <w:t>书</w:t>
      </w:r>
      <w:r>
        <w:rPr>
          <w:rFonts w:hint="eastAsia" w:ascii="仿宋" w:hAnsi="仿宋" w:eastAsia="仿宋"/>
          <w:color w:val="000000"/>
          <w:sz w:val="32"/>
          <w:szCs w:val="32"/>
          <w:lang w:eastAsia="zh-CN"/>
        </w:rPr>
        <w:t>送达之日起生效。如你</w:t>
      </w:r>
      <w:r>
        <w:rPr>
          <w:rFonts w:hint="eastAsia" w:ascii="仿宋" w:hAnsi="仿宋" w:eastAsia="仿宋"/>
          <w:color w:val="000000"/>
          <w:sz w:val="32"/>
          <w:szCs w:val="32"/>
          <w:lang w:val="en-US" w:eastAsia="zh-CN"/>
        </w:rPr>
        <w:t>单位</w:t>
      </w:r>
      <w:r>
        <w:rPr>
          <w:rFonts w:hint="eastAsia" w:ascii="仿宋" w:hAnsi="仿宋" w:eastAsia="仿宋"/>
          <w:color w:val="000000"/>
          <w:sz w:val="32"/>
          <w:szCs w:val="32"/>
          <w:lang w:eastAsia="zh-CN"/>
        </w:rPr>
        <w:t>不服本处罚决定，可在收到本决定书之日起</w:t>
      </w:r>
      <w:r>
        <w:rPr>
          <w:rFonts w:hint="eastAsia" w:ascii="仿宋" w:hAnsi="仿宋" w:eastAsia="仿宋"/>
          <w:color w:val="000000"/>
          <w:sz w:val="32"/>
          <w:szCs w:val="32"/>
          <w:lang w:val="en-US" w:eastAsia="zh-CN"/>
        </w:rPr>
        <w:t>六十日内向安福县人民政府申请行政复议，或者在收到决定书之日起六个月内向人民法院提起行政诉讼。复议或者诉讼期间本决定照常执行。</w:t>
      </w:r>
    </w:p>
    <w:p>
      <w:pPr>
        <w:keepNext w:val="0"/>
        <w:keepLines w:val="0"/>
        <w:pageBreakBefore w:val="0"/>
        <w:kinsoku/>
        <w:wordWrap/>
        <w:overflowPunct/>
        <w:topLinePunct w:val="0"/>
        <w:autoSpaceDE/>
        <w:autoSpaceDN/>
        <w:bidi w:val="0"/>
        <w:adjustRightInd/>
        <w:snapToGrid/>
        <w:spacing w:line="540" w:lineRule="exact"/>
        <w:textAlignment w:val="auto"/>
        <w:rPr>
          <w:rFonts w:hint="eastAsia" w:ascii="仿宋_GB2312" w:hAnsi="仿宋" w:eastAsia="仿宋_GB2312"/>
          <w:sz w:val="32"/>
          <w:szCs w:val="32"/>
        </w:rPr>
      </w:pPr>
    </w:p>
    <w:p>
      <w:pPr>
        <w:keepNext w:val="0"/>
        <w:keepLines w:val="0"/>
        <w:pageBreakBefore w:val="0"/>
        <w:kinsoku/>
        <w:wordWrap/>
        <w:overflowPunct/>
        <w:topLinePunct w:val="0"/>
        <w:autoSpaceDE/>
        <w:autoSpaceDN/>
        <w:bidi w:val="0"/>
        <w:adjustRightInd/>
        <w:snapToGrid/>
        <w:spacing w:line="540" w:lineRule="exact"/>
        <w:textAlignment w:val="auto"/>
        <w:rPr>
          <w:rFonts w:hint="eastAsia" w:ascii="仿宋_GB2312" w:hAnsi="仿宋" w:eastAsia="仿宋_GB2312"/>
          <w:sz w:val="32"/>
          <w:szCs w:val="32"/>
        </w:rPr>
      </w:pPr>
    </w:p>
    <w:p>
      <w:pPr>
        <w:keepNext w:val="0"/>
        <w:keepLines w:val="0"/>
        <w:pageBreakBefore w:val="0"/>
        <w:kinsoku/>
        <w:wordWrap/>
        <w:overflowPunct/>
        <w:topLinePunct w:val="0"/>
        <w:autoSpaceDE/>
        <w:autoSpaceDN/>
        <w:bidi w:val="0"/>
        <w:adjustRightInd/>
        <w:snapToGrid/>
        <w:spacing w:line="540" w:lineRule="exact"/>
        <w:textAlignment w:val="auto"/>
        <w:rPr>
          <w:rFonts w:hint="eastAsia" w:ascii="仿宋_GB2312" w:hAnsi="仿宋" w:eastAsia="仿宋_GB2312"/>
          <w:sz w:val="32"/>
          <w:szCs w:val="32"/>
        </w:rPr>
      </w:pPr>
    </w:p>
    <w:p>
      <w:pPr>
        <w:keepNext w:val="0"/>
        <w:keepLines w:val="0"/>
        <w:pageBreakBefore w:val="0"/>
        <w:kinsoku/>
        <w:wordWrap/>
        <w:overflowPunct/>
        <w:topLinePunct w:val="0"/>
        <w:autoSpaceDE/>
        <w:autoSpaceDN/>
        <w:bidi w:val="0"/>
        <w:adjustRightInd/>
        <w:snapToGrid/>
        <w:spacing w:line="540" w:lineRule="exact"/>
        <w:ind w:firstLine="5600" w:firstLineChars="1750"/>
        <w:textAlignment w:val="auto"/>
        <w:rPr>
          <w:rFonts w:hint="eastAsia" w:ascii="仿宋_GB2312" w:hAnsi="仿宋" w:eastAsia="仿宋_GB2312" w:cs="仿宋"/>
          <w:color w:val="333333"/>
          <w:sz w:val="32"/>
          <w:szCs w:val="32"/>
          <w:shd w:val="clear" w:color="auto" w:fill="FFFFFF"/>
        </w:rPr>
      </w:pPr>
      <w:r>
        <w:rPr>
          <w:rFonts w:hint="eastAsia" w:ascii="仿宋_GB2312" w:hAnsi="仿宋" w:eastAsia="仿宋_GB2312" w:cs="仿宋"/>
          <w:color w:val="333333"/>
          <w:sz w:val="32"/>
          <w:szCs w:val="32"/>
          <w:shd w:val="clear" w:color="auto" w:fill="FFFFFF"/>
        </w:rPr>
        <w:t xml:space="preserve">安福县财政局 </w:t>
      </w:r>
    </w:p>
    <w:p>
      <w:pPr>
        <w:keepNext w:val="0"/>
        <w:keepLines w:val="0"/>
        <w:pageBreakBefore w:val="0"/>
        <w:kinsoku/>
        <w:wordWrap/>
        <w:overflowPunct/>
        <w:topLinePunct w:val="0"/>
        <w:autoSpaceDE/>
        <w:autoSpaceDN/>
        <w:bidi w:val="0"/>
        <w:adjustRightInd/>
        <w:snapToGrid/>
        <w:spacing w:line="540" w:lineRule="exact"/>
        <w:ind w:firstLine="5280" w:firstLineChars="1650"/>
        <w:textAlignment w:val="auto"/>
        <w:rPr>
          <w:rFonts w:ascii="仿宋_GB2312" w:hAnsi="仿宋" w:eastAsia="仿宋_GB2312"/>
          <w:sz w:val="32"/>
          <w:szCs w:val="32"/>
        </w:rPr>
      </w:pPr>
      <w:r>
        <w:rPr>
          <w:rFonts w:hint="eastAsia" w:ascii="仿宋_GB2312" w:hAnsi="仿宋" w:eastAsia="仿宋_GB2312" w:cs="仿宋"/>
          <w:color w:val="333333"/>
          <w:sz w:val="32"/>
          <w:szCs w:val="32"/>
          <w:shd w:val="clear" w:color="auto" w:fill="FFFFFF"/>
        </w:rPr>
        <w:t>202</w:t>
      </w:r>
      <w:r>
        <w:rPr>
          <w:rFonts w:hint="eastAsia" w:ascii="仿宋_GB2312" w:hAnsi="仿宋" w:eastAsia="仿宋_GB2312" w:cs="仿宋"/>
          <w:color w:val="333333"/>
          <w:sz w:val="32"/>
          <w:szCs w:val="32"/>
          <w:shd w:val="clear" w:color="auto" w:fill="FFFFFF"/>
          <w:lang w:val="en-US" w:eastAsia="zh-CN"/>
        </w:rPr>
        <w:t>3</w:t>
      </w:r>
      <w:r>
        <w:rPr>
          <w:rFonts w:hint="eastAsia" w:ascii="仿宋_GB2312" w:hAnsi="仿宋" w:eastAsia="仿宋_GB2312" w:cs="仿宋"/>
          <w:color w:val="333333"/>
          <w:sz w:val="32"/>
          <w:szCs w:val="32"/>
          <w:shd w:val="clear" w:color="auto" w:fill="FFFFFF"/>
        </w:rPr>
        <w:t xml:space="preserve"> 年</w:t>
      </w:r>
      <w:r>
        <w:rPr>
          <w:rFonts w:hint="eastAsia" w:ascii="仿宋_GB2312" w:hAnsi="仿宋" w:eastAsia="仿宋_GB2312" w:cs="仿宋"/>
          <w:color w:val="333333"/>
          <w:sz w:val="32"/>
          <w:szCs w:val="32"/>
          <w:shd w:val="clear" w:color="auto" w:fill="FFFFFF"/>
          <w:lang w:val="en-US" w:eastAsia="zh-CN"/>
        </w:rPr>
        <w:t>2</w:t>
      </w:r>
      <w:r>
        <w:rPr>
          <w:rFonts w:hint="eastAsia" w:ascii="仿宋_GB2312" w:hAnsi="仿宋" w:eastAsia="仿宋_GB2312" w:cs="仿宋"/>
          <w:color w:val="333333"/>
          <w:sz w:val="32"/>
          <w:szCs w:val="32"/>
          <w:shd w:val="clear" w:color="auto" w:fill="FFFFFF"/>
        </w:rPr>
        <w:t>月</w:t>
      </w:r>
      <w:r>
        <w:rPr>
          <w:rFonts w:hint="eastAsia" w:ascii="仿宋_GB2312" w:hAnsi="仿宋" w:eastAsia="仿宋_GB2312" w:cs="仿宋"/>
          <w:color w:val="333333"/>
          <w:sz w:val="32"/>
          <w:szCs w:val="32"/>
          <w:shd w:val="clear" w:color="auto" w:fill="FFFFFF"/>
          <w:lang w:val="en-US" w:eastAsia="zh-CN"/>
        </w:rPr>
        <w:t>20</w:t>
      </w:r>
      <w:bookmarkStart w:id="0" w:name="_GoBack"/>
      <w:bookmarkEnd w:id="0"/>
      <w:r>
        <w:rPr>
          <w:rFonts w:hint="eastAsia" w:ascii="仿宋_GB2312" w:hAnsi="仿宋" w:eastAsia="仿宋_GB2312" w:cs="仿宋"/>
          <w:color w:val="333333"/>
          <w:sz w:val="32"/>
          <w:szCs w:val="32"/>
          <w:shd w:val="clear" w:color="auto" w:fill="FFFFFF"/>
        </w:rPr>
        <w:t xml:space="preserve">日   </w:t>
      </w:r>
    </w:p>
    <w:p>
      <w:pPr>
        <w:wordWrap w:val="0"/>
        <w:spacing w:line="580" w:lineRule="exact"/>
        <w:jc w:val="right"/>
      </w:pPr>
      <w:r>
        <w:rPr>
          <w:rFonts w:hint="eastAsia" w:ascii="仿宋_GB2312" w:hAnsi="仿宋" w:eastAsia="仿宋_GB2312" w:cs="仿宋"/>
          <w:color w:val="333333"/>
          <w:sz w:val="32"/>
          <w:szCs w:val="32"/>
          <w:shd w:val="clear" w:color="auto" w:fill="FFFFFF"/>
        </w:rPr>
        <w:t xml:space="preserve">           </w:t>
      </w:r>
      <w:r>
        <w:rPr>
          <w:rFonts w:hint="eastAsia" w:ascii="仿宋" w:hAnsi="仿宋" w:eastAsia="仿宋" w:cs="仿宋"/>
          <w:color w:val="333333"/>
          <w:sz w:val="32"/>
          <w:szCs w:val="32"/>
          <w:shd w:val="clear" w:color="auto" w:fill="FFFFFF"/>
        </w:rPr>
        <w:t xml:space="preserve"> </w:t>
      </w:r>
    </w:p>
    <w:sectPr>
      <w:pgSz w:w="11850" w:h="16783"/>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C84E7A"/>
    <w:multiLevelType w:val="singleLevel"/>
    <w:tmpl w:val="8DC84E7A"/>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2NzRlNDk0YWZkYTY3Y2RhMDc1NGYyNjY0OWJhNzYifQ=="/>
  </w:docVars>
  <w:rsids>
    <w:rsidRoot w:val="324E0374"/>
    <w:rsid w:val="01233F73"/>
    <w:rsid w:val="02C646E1"/>
    <w:rsid w:val="078F59E9"/>
    <w:rsid w:val="0DE93AD9"/>
    <w:rsid w:val="11020FDA"/>
    <w:rsid w:val="123A1D8F"/>
    <w:rsid w:val="126B0E01"/>
    <w:rsid w:val="17375756"/>
    <w:rsid w:val="1E711B83"/>
    <w:rsid w:val="257F6C45"/>
    <w:rsid w:val="27874827"/>
    <w:rsid w:val="28EA10D5"/>
    <w:rsid w:val="30242407"/>
    <w:rsid w:val="324E0374"/>
    <w:rsid w:val="3BB4172A"/>
    <w:rsid w:val="50A336A5"/>
    <w:rsid w:val="6AE8216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Autospacing="1" w:afterAutospacing="1"/>
      <w:jc w:val="left"/>
    </w:pPr>
    <w:rPr>
      <w:rFonts w:cs="Times New Roman"/>
      <w:kern w:val="0"/>
      <w:sz w:val="24"/>
    </w:rPr>
  </w:style>
  <w:style w:type="character" w:styleId="5">
    <w:name w:val="Hyperlink"/>
    <w:basedOn w:val="4"/>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870</Words>
  <Characters>926</Characters>
  <Lines>0</Lines>
  <Paragraphs>0</Paragraphs>
  <TotalTime>0</TotalTime>
  <ScaleCrop>false</ScaleCrop>
  <LinksUpToDate>false</LinksUpToDate>
  <CharactersWithSpaces>946</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2023-02-02T01:32:00Z</dcterms:created>
  <dc:creator>自由行走的花</dc:creator>
  <cp:lastModifiedBy>自由行走的花</cp:lastModifiedBy>
  <dcterms:modified xsi:type="dcterms:W3CDTF">2023-02-20T00:45:21Z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26AECD15E2374F0C86E2430E186CE280</vt:lpwstr>
  </property>
</Properties>
</file>