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ajorEastAsia" w:cstheme="majorEastAsia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安福县财政局关于对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  <w:t>吉安市公共资源交易中心安福分中心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的行政处罚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  <w:t>决定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hd w:val="clear" w:color="auto" w:fill="FFFFFF"/>
        <w:spacing w:line="580" w:lineRule="exact"/>
        <w:ind w:left="840" w:leftChars="400" w:firstLine="1100" w:firstLineChars="250"/>
        <w:rPr>
          <w:rFonts w:ascii="方正小标宋简体" w:eastAsia="方正小标宋简体" w:hAnsiTheme="majorEastAsia" w:cstheme="majorEastAsia"/>
          <w:color w:val="333333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default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当 事 人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吉安市公共资源交易中心安福分中心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联系地址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安福县望塔路会展中心东面2楼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违法事实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  <w:t>和依据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根据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代理机构考核和</w:t>
      </w:r>
      <w:r>
        <w:rPr>
          <w:rFonts w:hint="eastAsia" w:ascii="仿宋_GB2312" w:hAnsi="楷体_GB2312" w:eastAsia="仿宋_GB2312" w:cs="楷体_GB2312"/>
          <w:sz w:val="32"/>
          <w:szCs w:val="32"/>
        </w:rPr>
        <w:t>招标投标领域专项整治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方案</w:t>
      </w:r>
      <w:r>
        <w:rPr>
          <w:rFonts w:hint="eastAsia" w:ascii="仿宋_GB2312" w:hAnsi="楷体_GB2312" w:eastAsia="仿宋_GB2312" w:cs="楷体_GB2312"/>
          <w:sz w:val="32"/>
          <w:szCs w:val="32"/>
        </w:rPr>
        <w:t>，检查组对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安福县公园路西侧小区棚户区改造安置项目电梯采购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（项目编号：【JXRC(JA)-2021-CG26】）、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eastAsia="zh-CN"/>
        </w:rPr>
        <w:t>电梯采购及安装项目（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项目编号：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eastAsia="zh-CN"/>
        </w:rPr>
        <w:t>【JXRC(JA)-2021-CG57】）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>进行了检查，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  <w:t>发现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两个项目均存在</w:t>
      </w: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投标保证金未在法定期限内退还的问题，你单位违反了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  <w:t>《中华人民共和国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>政府采购法实施条例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第三十三条、《政府采购货物和服务招标投标管理办法》（财政部令第87号）第三十八条。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拟作出的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行政处罚决定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《政府采购货物和服务招标投标管理办法》（财政部令第87号）第78条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的规定，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本机关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对你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作出以下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处罚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决定：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责令限期改正。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权利告知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本决定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送达之日起生效。如你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不服本处罚决定，可在收到本决定书之日起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六十日内向安福县人民政府申请行政复议，或者在收到决定书之日起六个月内向人民法院提起行政诉讼。复议或者诉讼期间本决定照常执行。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0" w:firstLineChars="1750"/>
        <w:textAlignment w:val="auto"/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安福县财政局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5280" w:firstLineChars="16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日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</w:t>
      </w:r>
    </w:p>
    <w:p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C84E7A"/>
    <w:multiLevelType w:val="singleLevel"/>
    <w:tmpl w:val="8DC84E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NzRlNDk0YWZkYTY3Y2RhMDc1NGYyNjY0OWJhNzYifQ=="/>
  </w:docVars>
  <w:rsids>
    <w:rsidRoot w:val="39722D88"/>
    <w:rsid w:val="0D8B087F"/>
    <w:rsid w:val="0F9C2153"/>
    <w:rsid w:val="10E16B8A"/>
    <w:rsid w:val="17DD6CB2"/>
    <w:rsid w:val="19A44DAD"/>
    <w:rsid w:val="234E77BC"/>
    <w:rsid w:val="265704EB"/>
    <w:rsid w:val="2FEE5794"/>
    <w:rsid w:val="3547350E"/>
    <w:rsid w:val="38A572D9"/>
    <w:rsid w:val="394713D0"/>
    <w:rsid w:val="39722D88"/>
    <w:rsid w:val="43291B47"/>
    <w:rsid w:val="47E669FB"/>
    <w:rsid w:val="593F3A1A"/>
    <w:rsid w:val="5BF64864"/>
    <w:rsid w:val="5ED27138"/>
    <w:rsid w:val="61CF4B85"/>
    <w:rsid w:val="6362705C"/>
    <w:rsid w:val="7B564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478</Characters>
  <Lines>0</Lines>
  <Paragraphs>0</Paragraphs>
  <TotalTime>5</TotalTime>
  <ScaleCrop>false</ScaleCrop>
  <LinksUpToDate>false</LinksUpToDate>
  <CharactersWithSpaces>497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2023-02-01T08:23:00Z</dcterms:created>
  <dc:creator>自由行走的花</dc:creator>
  <cp:lastModifiedBy>自由行走的花</cp:lastModifiedBy>
  <dcterms:modified xsi:type="dcterms:W3CDTF">2023-02-20T00:44:41Z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E0620CA7E9F44508BF0785E62B458CBE</vt:lpwstr>
  </property>
</Properties>
</file>