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275949">
      <w:pPr>
        <w:pStyle w:val="2"/>
        <w:tabs>
          <w:tab w:val="left" w:pos="0"/>
        </w:tabs>
        <w:autoSpaceDE w:val="0"/>
        <w:autoSpaceDN w:val="0"/>
        <w:adjustRightInd w:val="0"/>
        <w:spacing w:before="0" w:after="0" w:line="360" w:lineRule="auto"/>
        <w:jc w:val="center"/>
        <w:rPr>
          <w:rFonts w:hint="eastAsia" w:ascii="方正小标宋简体" w:hAnsi="方正小标宋简体" w:eastAsia="方正小标宋简体" w:cs="方正小标宋简体"/>
          <w:sz w:val="36"/>
          <w:szCs w:val="36"/>
          <w:lang w:eastAsia="zh-CN"/>
        </w:rPr>
      </w:pPr>
      <w:bookmarkStart w:id="0" w:name="_Toc28359044"/>
      <w:bookmarkStart w:id="1" w:name="_Toc35393834"/>
      <w:r>
        <w:rPr>
          <w:rFonts w:hint="eastAsia" w:ascii="方正小标宋简体" w:hAnsi="方正小标宋简体" w:eastAsia="方正小标宋简体" w:cs="方正小标宋简体"/>
          <w:sz w:val="36"/>
          <w:szCs w:val="36"/>
        </w:rPr>
        <w:t>监督检查处理结果</w:t>
      </w:r>
      <w:bookmarkEnd w:id="0"/>
      <w:bookmarkEnd w:id="1"/>
      <w:r>
        <w:rPr>
          <w:rFonts w:hint="eastAsia" w:ascii="方正小标宋简体" w:hAnsi="方正小标宋简体" w:eastAsia="方正小标宋简体" w:cs="方正小标宋简体"/>
          <w:sz w:val="36"/>
          <w:szCs w:val="36"/>
          <w:lang w:eastAsia="zh-CN"/>
        </w:rPr>
        <w:t>公告</w:t>
      </w:r>
      <w:bookmarkStart w:id="2" w:name="_GoBack"/>
      <w:bookmarkEnd w:id="2"/>
    </w:p>
    <w:p w14:paraId="4FDBACE5"/>
    <w:p w14:paraId="76E65C82">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ascii="黑体" w:hAnsi="黑体" w:eastAsia="黑体"/>
          <w:sz w:val="28"/>
          <w:szCs w:val="28"/>
        </w:rPr>
      </w:pPr>
      <w:r>
        <w:rPr>
          <w:rFonts w:hint="eastAsia" w:ascii="黑体" w:hAnsi="黑体" w:eastAsia="黑体"/>
          <w:sz w:val="28"/>
          <w:szCs w:val="28"/>
        </w:rPr>
        <w:t>一、</w:t>
      </w:r>
      <w:r>
        <w:rPr>
          <w:rFonts w:hint="eastAsia" w:ascii="黑体" w:hAnsi="黑体" w:eastAsia="黑体" w:cs="黑体"/>
          <w:sz w:val="32"/>
          <w:szCs w:val="32"/>
        </w:rPr>
        <w:t>项目编号</w:t>
      </w:r>
      <w:r>
        <w:rPr>
          <w:rFonts w:hint="eastAsia" w:ascii="黑体" w:hAnsi="黑体" w:eastAsia="黑体"/>
          <w:sz w:val="28"/>
          <w:szCs w:val="28"/>
        </w:rPr>
        <w:t>：</w:t>
      </w:r>
      <w:r>
        <w:rPr>
          <w:rFonts w:hint="eastAsia" w:ascii="仿宋_GB2312" w:hAnsi="仿宋_GB2312" w:eastAsia="仿宋_GB2312" w:cs="仿宋_GB2312"/>
          <w:sz w:val="32"/>
          <w:szCs w:val="32"/>
          <w:u w:val="single"/>
          <w:lang w:eastAsia="zh-CN"/>
        </w:rPr>
        <w:t>梦浩-YZ2024-001　　</w:t>
      </w:r>
      <w:r>
        <w:rPr>
          <w:rFonts w:hint="eastAsia" w:ascii="仿宋_GB2312" w:hAnsi="仿宋_GB2312" w:eastAsia="仿宋_GB2312" w:cs="仿宋_GB2312"/>
          <w:sz w:val="32"/>
          <w:szCs w:val="32"/>
          <w:u w:val="single"/>
        </w:rPr>
        <w:t>　　　　</w:t>
      </w:r>
    </w:p>
    <w:p w14:paraId="42282506">
      <w:pPr>
        <w:keepNext w:val="0"/>
        <w:keepLines w:val="0"/>
        <w:pageBreakBefore w:val="0"/>
        <w:kinsoku/>
        <w:wordWrap/>
        <w:overflowPunct/>
        <w:topLinePunct w:val="0"/>
        <w:autoSpaceDE/>
        <w:autoSpaceDN/>
        <w:bidi w:val="0"/>
        <w:adjustRightInd/>
        <w:snapToGrid/>
        <w:spacing w:line="560" w:lineRule="exact"/>
        <w:ind w:left="2519" w:leftChars="266" w:hanging="1960" w:hangingChars="700"/>
        <w:textAlignment w:val="auto"/>
        <w:rPr>
          <w:rFonts w:hint="eastAsia" w:ascii="仿宋_GB2312" w:hAnsi="仿宋_GB2312" w:eastAsia="仿宋_GB2312" w:cs="仿宋_GB2312"/>
          <w:sz w:val="32"/>
          <w:szCs w:val="32"/>
          <w:u w:val="single"/>
          <w:lang w:eastAsia="zh-CN"/>
        </w:rPr>
      </w:pPr>
      <w:r>
        <w:rPr>
          <w:rFonts w:hint="eastAsia" w:ascii="黑体" w:hAnsi="黑体" w:eastAsia="黑体"/>
          <w:sz w:val="28"/>
          <w:szCs w:val="28"/>
        </w:rPr>
        <w:t>二、</w:t>
      </w:r>
      <w:r>
        <w:rPr>
          <w:rFonts w:hint="eastAsia" w:ascii="黑体" w:hAnsi="黑体" w:eastAsia="黑体" w:cs="黑体"/>
          <w:sz w:val="32"/>
          <w:szCs w:val="32"/>
        </w:rPr>
        <w:t>项目名称</w:t>
      </w:r>
      <w:r>
        <w:rPr>
          <w:rFonts w:hint="eastAsia" w:ascii="黑体" w:hAnsi="黑体" w:eastAsia="黑体"/>
          <w:sz w:val="28"/>
          <w:szCs w:val="28"/>
        </w:rPr>
        <w:t>：</w:t>
      </w:r>
      <w:r>
        <w:rPr>
          <w:rFonts w:hint="eastAsia" w:ascii="仿宋_GB2312" w:hAnsi="仿宋_GB2312" w:eastAsia="仿宋_GB2312" w:cs="仿宋_GB2312"/>
          <w:sz w:val="32"/>
          <w:szCs w:val="32"/>
          <w:u w:val="single"/>
          <w:lang w:eastAsia="zh-CN"/>
        </w:rPr>
        <w:t>袁州区文史档案馆加固工程项目项目</w:t>
      </w:r>
    </w:p>
    <w:p w14:paraId="78326A3B">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黑体" w:hAnsi="黑体" w:eastAsia="黑体" w:cs="黑体"/>
          <w:sz w:val="32"/>
          <w:szCs w:val="32"/>
        </w:rPr>
      </w:pPr>
      <w:r>
        <w:rPr>
          <w:rFonts w:hint="eastAsia" w:ascii="黑体" w:hAnsi="黑体" w:eastAsia="黑体"/>
          <w:sz w:val="28"/>
          <w:szCs w:val="28"/>
        </w:rPr>
        <w:t>三、</w:t>
      </w:r>
      <w:r>
        <w:rPr>
          <w:rFonts w:hint="eastAsia" w:ascii="黑体" w:hAnsi="黑体" w:eastAsia="黑体" w:cs="黑体"/>
          <w:sz w:val="32"/>
          <w:szCs w:val="32"/>
        </w:rPr>
        <w:t>相关当事人</w:t>
      </w:r>
    </w:p>
    <w:p w14:paraId="316A117A">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highlight w:val="none"/>
          <w:u w:val="single"/>
        </w:rPr>
        <w:t>当事人</w:t>
      </w:r>
      <w:r>
        <w:rPr>
          <w:rFonts w:hint="eastAsia" w:ascii="仿宋_GB2312" w:hAnsi="仿宋_GB2312" w:eastAsia="仿宋_GB2312" w:cs="仿宋_GB2312"/>
          <w:sz w:val="32"/>
          <w:szCs w:val="32"/>
          <w:highlight w:val="none"/>
          <w:u w:val="single"/>
          <w:lang w:val="en-US" w:eastAsia="zh-CN"/>
        </w:rPr>
        <w:t>1</w:t>
      </w:r>
      <w:r>
        <w:rPr>
          <w:rFonts w:hint="eastAsia" w:ascii="仿宋_GB2312" w:hAnsi="仿宋_GB2312" w:eastAsia="仿宋_GB2312" w:cs="仿宋_GB2312"/>
          <w:sz w:val="32"/>
          <w:szCs w:val="32"/>
          <w:highlight w:val="none"/>
          <w:u w:val="single"/>
        </w:rPr>
        <w:t>：</w:t>
      </w:r>
      <w:r>
        <w:rPr>
          <w:rFonts w:hint="eastAsia" w:ascii="仿宋_GB2312" w:hAnsi="仿宋_GB2312" w:eastAsia="仿宋_GB2312" w:cs="仿宋_GB2312"/>
          <w:sz w:val="32"/>
          <w:szCs w:val="32"/>
          <w:u w:val="single"/>
          <w:lang w:eastAsia="zh-CN"/>
        </w:rPr>
        <w:t>江西砼磊房屋建设有限公司</w:t>
      </w:r>
      <w:r>
        <w:rPr>
          <w:rFonts w:hint="eastAsia" w:ascii="仿宋_GB2312" w:hAnsi="仿宋_GB2312" w:eastAsia="仿宋_GB2312" w:cs="仿宋_GB2312"/>
          <w:sz w:val="32"/>
          <w:szCs w:val="32"/>
          <w:u w:val="single"/>
          <w:lang w:val="en-US" w:eastAsia="zh-CN"/>
        </w:rPr>
        <w:t xml:space="preserve">   </w:t>
      </w:r>
    </w:p>
    <w:p w14:paraId="35BF5883">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rPr>
      </w:pPr>
      <w:r>
        <w:rPr>
          <w:rFonts w:hint="eastAsia" w:ascii="仿宋_GB2312" w:hAnsi="仿宋_GB2312" w:eastAsia="仿宋_GB2312" w:cs="仿宋_GB2312"/>
          <w:sz w:val="32"/>
          <w:szCs w:val="32"/>
          <w:u w:val="single"/>
          <w:lang w:eastAsia="zh-CN"/>
        </w:rPr>
        <w:t>地址：宜春市袁州区宜阳大道 211 号</w:t>
      </w:r>
      <w:r>
        <w:rPr>
          <w:rFonts w:hint="eastAsia" w:ascii="仿宋_GB2312" w:hAnsi="仿宋_GB2312" w:eastAsia="仿宋_GB2312" w:cs="仿宋_GB2312"/>
          <w:sz w:val="32"/>
          <w:szCs w:val="32"/>
          <w:u w:val="single"/>
          <w:lang w:val="en-US" w:eastAsia="zh-CN"/>
        </w:rPr>
        <w:t xml:space="preserve">  </w:t>
      </w:r>
    </w:p>
    <w:p w14:paraId="3815381B">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u w:val="single"/>
        </w:rPr>
        <w:t>当事人</w:t>
      </w:r>
      <w:r>
        <w:rPr>
          <w:rFonts w:hint="eastAsia" w:ascii="仿宋_GB2312" w:hAnsi="仿宋_GB2312" w:eastAsia="仿宋_GB2312" w:cs="仿宋_GB2312"/>
          <w:sz w:val="32"/>
          <w:szCs w:val="32"/>
          <w:u w:val="single"/>
          <w:lang w:val="en-US" w:eastAsia="zh-CN"/>
        </w:rPr>
        <w:t>2</w:t>
      </w:r>
      <w:r>
        <w:rPr>
          <w:rFonts w:hint="eastAsia" w:ascii="仿宋_GB2312" w:hAnsi="仿宋_GB2312" w:eastAsia="仿宋_GB2312" w:cs="仿宋_GB2312"/>
          <w:sz w:val="32"/>
          <w:szCs w:val="32"/>
          <w:u w:val="single"/>
        </w:rPr>
        <w:t>：</w:t>
      </w:r>
      <w:r>
        <w:rPr>
          <w:rFonts w:hint="eastAsia" w:ascii="仿宋_GB2312" w:hAnsi="仿宋_GB2312" w:eastAsia="仿宋_GB2312" w:cs="仿宋_GB2312"/>
          <w:sz w:val="32"/>
          <w:szCs w:val="32"/>
          <w:u w:val="single"/>
          <w:lang w:eastAsia="zh-CN"/>
        </w:rPr>
        <w:t>宜春市袁州区机关事务管理中心</w:t>
      </w:r>
      <w:r>
        <w:rPr>
          <w:rFonts w:hint="eastAsia" w:ascii="仿宋_GB2312" w:hAnsi="仿宋_GB2312" w:eastAsia="仿宋_GB2312" w:cs="仿宋_GB2312"/>
          <w:sz w:val="32"/>
          <w:szCs w:val="32"/>
          <w:u w:val="single"/>
          <w:lang w:val="en-US" w:eastAsia="zh-CN"/>
        </w:rPr>
        <w:t xml:space="preserve">   </w:t>
      </w:r>
    </w:p>
    <w:p w14:paraId="7C9BE5C6">
      <w:pPr>
        <w:keepNext w:val="0"/>
        <w:keepLines w:val="0"/>
        <w:pageBreakBefore w:val="0"/>
        <w:kinsoku/>
        <w:wordWrap/>
        <w:overflowPunct/>
        <w:topLinePunct w:val="0"/>
        <w:autoSpaceDE/>
        <w:autoSpaceDN/>
        <w:bidi w:val="0"/>
        <w:adjustRightInd/>
        <w:snapToGrid/>
        <w:spacing w:line="560" w:lineRule="exact"/>
        <w:ind w:firstLine="646" w:firstLineChars="202"/>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u w:val="single"/>
        </w:rPr>
        <w:t>地址：</w:t>
      </w:r>
      <w:r>
        <w:rPr>
          <w:rFonts w:hint="eastAsia" w:ascii="仿宋_GB2312" w:hAnsi="仿宋_GB2312" w:eastAsia="仿宋_GB2312" w:cs="仿宋_GB2312"/>
          <w:color w:val="auto"/>
          <w:sz w:val="32"/>
          <w:szCs w:val="32"/>
          <w:highlight w:val="none"/>
          <w:u w:val="single"/>
          <w:lang w:eastAsia="zh-CN"/>
        </w:rPr>
        <w:t>袁州区行政中心行政大楼1楼</w:t>
      </w:r>
      <w:r>
        <w:rPr>
          <w:rFonts w:hint="eastAsia" w:ascii="仿宋_GB2312" w:hAnsi="仿宋_GB2312" w:eastAsia="仿宋_GB2312" w:cs="仿宋_GB2312"/>
          <w:color w:val="auto"/>
          <w:sz w:val="32"/>
          <w:szCs w:val="32"/>
          <w:highlight w:val="none"/>
          <w:u w:val="single"/>
          <w:lang w:val="en-US" w:eastAsia="zh-CN"/>
        </w:rPr>
        <w:t xml:space="preserve">  </w:t>
      </w:r>
      <w:r>
        <w:rPr>
          <w:rFonts w:hint="eastAsia" w:ascii="仿宋_GB2312" w:hAnsi="仿宋_GB2312" w:eastAsia="仿宋_GB2312" w:cs="仿宋_GB2312"/>
          <w:sz w:val="32"/>
          <w:szCs w:val="32"/>
          <w:u w:val="single"/>
          <w:lang w:val="en-US" w:eastAsia="zh-CN"/>
        </w:rPr>
        <w:t xml:space="preserve">   </w:t>
      </w:r>
    </w:p>
    <w:p w14:paraId="5BB5A7BA">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四、基本情况</w:t>
      </w:r>
    </w:p>
    <w:p w14:paraId="3487053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lang w:val="en-US" w:eastAsia="zh-CN"/>
        </w:rPr>
        <w:t>2024年11月28日</w:t>
      </w:r>
      <w:r>
        <w:rPr>
          <w:rFonts w:hint="eastAsia" w:ascii="仿宋_GB2312" w:hAnsi="仿宋_GB2312" w:eastAsia="仿宋_GB2312" w:cs="仿宋_GB2312"/>
          <w:sz w:val="32"/>
          <w:szCs w:val="32"/>
          <w:u w:val="none"/>
          <w:lang w:eastAsia="zh-CN"/>
        </w:rPr>
        <w:t>宜春市袁州区机关事务管理中心向本机关报告袁州区文史档案馆加固工程项目中标供应商江西砼磊房屋建设有限公司弃标，本机关</w:t>
      </w:r>
      <w:r>
        <w:rPr>
          <w:rFonts w:hint="eastAsia" w:ascii="仿宋_GB2312" w:hAnsi="仿宋_GB2312" w:eastAsia="仿宋_GB2312" w:cs="仿宋_GB2312"/>
          <w:sz w:val="32"/>
          <w:szCs w:val="32"/>
          <w:u w:val="none"/>
        </w:rPr>
        <w:t>依法</w:t>
      </w:r>
      <w:r>
        <w:rPr>
          <w:rFonts w:hint="eastAsia" w:ascii="仿宋_GB2312" w:hAnsi="仿宋_GB2312" w:eastAsia="仿宋_GB2312" w:cs="仿宋_GB2312"/>
          <w:sz w:val="32"/>
          <w:szCs w:val="32"/>
          <w:u w:val="none"/>
          <w:lang w:eastAsia="zh-CN"/>
        </w:rPr>
        <w:t>对该项目</w:t>
      </w:r>
      <w:r>
        <w:rPr>
          <w:rFonts w:hint="eastAsia" w:ascii="仿宋_GB2312" w:hAnsi="仿宋_GB2312" w:eastAsia="仿宋_GB2312" w:cs="仿宋_GB2312"/>
          <w:sz w:val="32"/>
          <w:szCs w:val="32"/>
          <w:u w:val="none"/>
        </w:rPr>
        <w:t>启动监督检查。</w:t>
      </w:r>
    </w:p>
    <w:p w14:paraId="4D846F90">
      <w:pPr>
        <w:keepNext w:val="0"/>
        <w:keepLines w:val="0"/>
        <w:pageBreakBefore w:val="0"/>
        <w:kinsoku/>
        <w:wordWrap/>
        <w:overflowPunct/>
        <w:topLinePunct w:val="0"/>
        <w:autoSpaceDE/>
        <w:autoSpaceDN/>
        <w:bidi w:val="0"/>
        <w:adjustRightInd/>
        <w:snapToGrid/>
        <w:spacing w:line="560" w:lineRule="exact"/>
        <w:ind w:left="0" w:leftChars="0" w:right="0" w:firstLine="640" w:firstLineChars="200"/>
        <w:jc w:val="both"/>
        <w:textAlignment w:val="auto"/>
        <w:rPr>
          <w:rFonts w:ascii="仿宋_GB2312" w:hAnsi="仿宋_GB2312" w:eastAsia="仿宋_GB2312" w:cs="仿宋_GB2312"/>
          <w:color w:val="121212"/>
          <w:sz w:val="32"/>
          <w:szCs w:val="32"/>
          <w:shd w:val="clear" w:color="auto" w:fill="FFFFFF"/>
        </w:rPr>
      </w:pPr>
      <w:r>
        <w:rPr>
          <w:rFonts w:hint="eastAsia" w:ascii="黑体" w:hAnsi="黑体" w:eastAsia="黑体" w:cs="黑体"/>
          <w:sz w:val="32"/>
          <w:szCs w:val="32"/>
        </w:rPr>
        <w:t>五、处理依据及结果</w:t>
      </w:r>
    </w:p>
    <w:p w14:paraId="4F9B277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经调查,根据</w:t>
      </w:r>
      <w:r>
        <w:rPr>
          <w:rFonts w:hint="eastAsia" w:ascii="仿宋_GB2312" w:hAnsi="仿宋_GB2312" w:eastAsia="仿宋_GB2312" w:cs="仿宋_GB2312"/>
          <w:sz w:val="32"/>
          <w:szCs w:val="32"/>
          <w:u w:val="none"/>
          <w:lang w:val="en-US" w:eastAsia="zh-CN"/>
        </w:rPr>
        <w:t>《中华人民共和国政府采购法实施条例》第七十二条,《中华人民共和国政府采购法》第四十六条、第七十七条等规定，</w:t>
      </w:r>
      <w:r>
        <w:rPr>
          <w:rFonts w:hint="default" w:ascii="仿宋_GB2312" w:hAnsi="仿宋_GB2312" w:eastAsia="仿宋_GB2312" w:cs="仿宋_GB2312"/>
          <w:sz w:val="32"/>
          <w:szCs w:val="32"/>
          <w:u w:val="none"/>
          <w:lang w:val="en-US" w:eastAsia="zh-CN"/>
        </w:rPr>
        <w:t>责令采购人</w:t>
      </w:r>
      <w:r>
        <w:rPr>
          <w:rFonts w:hint="eastAsia" w:ascii="仿宋_GB2312" w:hAnsi="仿宋_GB2312" w:eastAsia="仿宋_GB2312" w:cs="仿宋_GB2312"/>
          <w:sz w:val="32"/>
          <w:szCs w:val="32"/>
          <w:u w:val="none"/>
          <w:lang w:val="en-US" w:eastAsia="zh-CN"/>
        </w:rPr>
        <w:t>废标，</w:t>
      </w:r>
      <w:r>
        <w:rPr>
          <w:rFonts w:hint="default" w:ascii="仿宋_GB2312" w:hAnsi="仿宋_GB2312" w:eastAsia="仿宋_GB2312" w:cs="仿宋_GB2312"/>
          <w:sz w:val="32"/>
          <w:szCs w:val="32"/>
          <w:u w:val="none"/>
          <w:lang w:val="en-US" w:eastAsia="zh-CN"/>
        </w:rPr>
        <w:t>重新组织</w:t>
      </w:r>
      <w:r>
        <w:rPr>
          <w:rFonts w:hint="eastAsia" w:ascii="仿宋_GB2312" w:hAnsi="仿宋_GB2312" w:eastAsia="仿宋_GB2312" w:cs="仿宋_GB2312"/>
          <w:sz w:val="32"/>
          <w:szCs w:val="32"/>
          <w:u w:val="none"/>
          <w:lang w:val="en-US" w:eastAsia="zh-CN"/>
        </w:rPr>
        <w:t>招投标活动。</w:t>
      </w:r>
    </w:p>
    <w:p w14:paraId="3EDD0A0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对当事人江西砼磊房屋建设有限公司处以采购金额（2720000元）千分之五罚款壹万陆叁仟陆佰元（13600元）的行政处罚。</w:t>
      </w:r>
    </w:p>
    <w:p w14:paraId="54FC3DB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u w:val="none"/>
          <w:lang w:val="en-US" w:eastAsia="zh-CN"/>
        </w:rPr>
      </w:pPr>
    </w:p>
    <w:p w14:paraId="6829A342">
      <w:pPr>
        <w:widowControl/>
        <w:ind w:right="30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14:paraId="5B5F5DA3">
      <w:pPr>
        <w:widowControl/>
        <w:ind w:right="30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宜春市袁州区财政局</w:t>
      </w:r>
    </w:p>
    <w:p w14:paraId="0975568E">
      <w:pPr>
        <w:widowControl/>
        <w:ind w:right="300"/>
        <w:jc w:val="right"/>
        <w:rPr>
          <w:rFonts w:hint="eastAsia" w:ascii="仿宋_GB2312" w:hAnsi="仿宋_GB2312" w:eastAsia="仿宋_GB2312" w:cs="仿宋_GB2312"/>
          <w:sz w:val="32"/>
          <w:szCs w:val="32"/>
          <w:highlight w:val="yellow"/>
        </w:rPr>
      </w:pPr>
      <w:r>
        <w:rPr>
          <w:rFonts w:hint="eastAsia" w:ascii="仿宋_GB2312" w:hAnsi="仿宋_GB2312" w:eastAsia="仿宋_GB2312" w:cs="仿宋_GB2312"/>
          <w:sz w:val="32"/>
          <w:szCs w:val="32"/>
          <w:lang w:val="en-US" w:eastAsia="zh-CN"/>
        </w:rPr>
        <w:t>2024年12月6日</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69663037"/>
    </w:sdtPr>
    <w:sdtContent>
      <w:p w14:paraId="0AEA1196">
        <w:pPr>
          <w:pStyle w:val="13"/>
          <w:jc w:val="center"/>
        </w:pPr>
        <w:r>
          <w:fldChar w:fldCharType="begin"/>
        </w:r>
        <w:r>
          <w:instrText xml:space="preserve">PAGE   \* MERGEFORMAT</w:instrText>
        </w:r>
        <w:r>
          <w:fldChar w:fldCharType="separate"/>
        </w:r>
        <w:r>
          <w:rPr>
            <w:lang w:val="zh-CN"/>
          </w:rPr>
          <w:t>1</w:t>
        </w:r>
        <w:r>
          <w:fldChar w:fldCharType="end"/>
        </w:r>
      </w:p>
    </w:sdtContent>
  </w:sdt>
  <w:p w14:paraId="705DE933">
    <w:pPr>
      <w:pStyle w:val="1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mZDAzNTc3MDU1N2RjNWRiNzUyZWYwM2NlZTQ4MjQifQ=="/>
  </w:docVars>
  <w:rsids>
    <w:rsidRoot w:val="00244094"/>
    <w:rsid w:val="000312DE"/>
    <w:rsid w:val="0005737B"/>
    <w:rsid w:val="000726D8"/>
    <w:rsid w:val="000A6769"/>
    <w:rsid w:val="000D3B95"/>
    <w:rsid w:val="000D5040"/>
    <w:rsid w:val="000D6508"/>
    <w:rsid w:val="00110BD8"/>
    <w:rsid w:val="00151C8B"/>
    <w:rsid w:val="00244094"/>
    <w:rsid w:val="00246690"/>
    <w:rsid w:val="002F4172"/>
    <w:rsid w:val="00322E12"/>
    <w:rsid w:val="003D04C7"/>
    <w:rsid w:val="00430D5D"/>
    <w:rsid w:val="00445621"/>
    <w:rsid w:val="004B0417"/>
    <w:rsid w:val="004F0CA3"/>
    <w:rsid w:val="004F449A"/>
    <w:rsid w:val="005902A4"/>
    <w:rsid w:val="006939FC"/>
    <w:rsid w:val="0079663A"/>
    <w:rsid w:val="007E2D83"/>
    <w:rsid w:val="0080774A"/>
    <w:rsid w:val="00816543"/>
    <w:rsid w:val="00877C6E"/>
    <w:rsid w:val="008974EE"/>
    <w:rsid w:val="008A1192"/>
    <w:rsid w:val="008A2FE7"/>
    <w:rsid w:val="0090581E"/>
    <w:rsid w:val="00966F02"/>
    <w:rsid w:val="009A15C7"/>
    <w:rsid w:val="00A30F31"/>
    <w:rsid w:val="00A3374C"/>
    <w:rsid w:val="00C37A88"/>
    <w:rsid w:val="00C52F06"/>
    <w:rsid w:val="00C61BBE"/>
    <w:rsid w:val="00C95981"/>
    <w:rsid w:val="00D26832"/>
    <w:rsid w:val="00DA7067"/>
    <w:rsid w:val="00DC09FA"/>
    <w:rsid w:val="00E457B7"/>
    <w:rsid w:val="00E702D6"/>
    <w:rsid w:val="00E75E92"/>
    <w:rsid w:val="00ED7C2A"/>
    <w:rsid w:val="00EE3266"/>
    <w:rsid w:val="00F53A4B"/>
    <w:rsid w:val="03E33071"/>
    <w:rsid w:val="046B3CC5"/>
    <w:rsid w:val="04C912D1"/>
    <w:rsid w:val="0B6002C7"/>
    <w:rsid w:val="0CED3BA0"/>
    <w:rsid w:val="0E1A3B33"/>
    <w:rsid w:val="0FAC2EB1"/>
    <w:rsid w:val="0FE351FF"/>
    <w:rsid w:val="10F1501F"/>
    <w:rsid w:val="11840E7C"/>
    <w:rsid w:val="1C6E4B92"/>
    <w:rsid w:val="1E8F40C9"/>
    <w:rsid w:val="20C31E08"/>
    <w:rsid w:val="20D64428"/>
    <w:rsid w:val="217C6D52"/>
    <w:rsid w:val="219A1C65"/>
    <w:rsid w:val="21CB3A5F"/>
    <w:rsid w:val="21F90E60"/>
    <w:rsid w:val="256B319A"/>
    <w:rsid w:val="28E141F5"/>
    <w:rsid w:val="294A428B"/>
    <w:rsid w:val="2B2C0531"/>
    <w:rsid w:val="2C7D1A05"/>
    <w:rsid w:val="2CB371D5"/>
    <w:rsid w:val="2CF173E5"/>
    <w:rsid w:val="2D517F77"/>
    <w:rsid w:val="2F9C2100"/>
    <w:rsid w:val="310E5321"/>
    <w:rsid w:val="33A53D1B"/>
    <w:rsid w:val="34016277"/>
    <w:rsid w:val="358F5940"/>
    <w:rsid w:val="36DD4F8D"/>
    <w:rsid w:val="38622B63"/>
    <w:rsid w:val="391D1F38"/>
    <w:rsid w:val="3A6305DE"/>
    <w:rsid w:val="3E9A05A9"/>
    <w:rsid w:val="3ECE0F9C"/>
    <w:rsid w:val="3F4469A5"/>
    <w:rsid w:val="41A72087"/>
    <w:rsid w:val="41DB6C24"/>
    <w:rsid w:val="42294186"/>
    <w:rsid w:val="44964820"/>
    <w:rsid w:val="456E5B41"/>
    <w:rsid w:val="45F3210D"/>
    <w:rsid w:val="46E110B6"/>
    <w:rsid w:val="4778341F"/>
    <w:rsid w:val="48F759E7"/>
    <w:rsid w:val="4A825CBB"/>
    <w:rsid w:val="4BAF075A"/>
    <w:rsid w:val="4C1C19BF"/>
    <w:rsid w:val="4F425540"/>
    <w:rsid w:val="503A66C7"/>
    <w:rsid w:val="507027E6"/>
    <w:rsid w:val="5136739D"/>
    <w:rsid w:val="5212481A"/>
    <w:rsid w:val="5314011E"/>
    <w:rsid w:val="53B65679"/>
    <w:rsid w:val="54B56AB3"/>
    <w:rsid w:val="55AB591B"/>
    <w:rsid w:val="55B85B2E"/>
    <w:rsid w:val="572B6763"/>
    <w:rsid w:val="578C4726"/>
    <w:rsid w:val="58786F51"/>
    <w:rsid w:val="596D46B9"/>
    <w:rsid w:val="5A0709DC"/>
    <w:rsid w:val="5AEE336B"/>
    <w:rsid w:val="5D467A6D"/>
    <w:rsid w:val="5DCB3ACF"/>
    <w:rsid w:val="5E82103D"/>
    <w:rsid w:val="60964FF0"/>
    <w:rsid w:val="61384EC8"/>
    <w:rsid w:val="64393E88"/>
    <w:rsid w:val="67401089"/>
    <w:rsid w:val="67553B2A"/>
    <w:rsid w:val="694A4CBB"/>
    <w:rsid w:val="6A7379C8"/>
    <w:rsid w:val="6B6621F6"/>
    <w:rsid w:val="6D7C79A0"/>
    <w:rsid w:val="6FEC6DC9"/>
    <w:rsid w:val="718A4A0E"/>
    <w:rsid w:val="7195149B"/>
    <w:rsid w:val="71F17B50"/>
    <w:rsid w:val="72435CE1"/>
    <w:rsid w:val="73486DFE"/>
    <w:rsid w:val="735633A3"/>
    <w:rsid w:val="74023B4A"/>
    <w:rsid w:val="752C6579"/>
    <w:rsid w:val="768A2723"/>
    <w:rsid w:val="788C754F"/>
    <w:rsid w:val="79295E21"/>
    <w:rsid w:val="79D36144"/>
    <w:rsid w:val="7C1C7EBF"/>
    <w:rsid w:val="7D111E22"/>
    <w:rsid w:val="7E671790"/>
    <w:rsid w:val="7F5A29D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28"/>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9"/>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semiHidden/>
    <w:unhideWhenUsed/>
    <w:qFormat/>
    <w:uiPriority w:val="9"/>
    <w:pPr>
      <w:keepNext/>
      <w:keepLines/>
      <w:spacing w:before="260" w:beforeLines="0" w:beforeAutospacing="0" w:after="260" w:afterLines="0" w:afterAutospacing="0" w:line="413" w:lineRule="auto"/>
      <w:outlineLvl w:val="2"/>
    </w:pPr>
    <w:rPr>
      <w:b/>
      <w:sz w:val="32"/>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30"/>
    <w:semiHidden/>
    <w:unhideWhenUsed/>
    <w:qFormat/>
    <w:uiPriority w:val="99"/>
    <w:pPr>
      <w:jc w:val="left"/>
    </w:pPr>
  </w:style>
  <w:style w:type="paragraph" w:styleId="6">
    <w:name w:val="Body Text"/>
    <w:basedOn w:val="1"/>
    <w:qFormat/>
    <w:uiPriority w:val="0"/>
    <w:rPr>
      <w:rFonts w:ascii="宋体" w:hAnsi="宋体" w:eastAsia="宋体"/>
      <w:sz w:val="28"/>
    </w:rPr>
  </w:style>
  <w:style w:type="paragraph" w:styleId="7">
    <w:name w:val="Body Text Indent"/>
    <w:basedOn w:val="1"/>
    <w:next w:val="8"/>
    <w:qFormat/>
    <w:uiPriority w:val="0"/>
    <w:pPr>
      <w:spacing w:after="120"/>
      <w:ind w:left="420" w:leftChars="200"/>
    </w:pPr>
  </w:style>
  <w:style w:type="paragraph" w:styleId="8">
    <w:name w:val="envelope return"/>
    <w:basedOn w:val="1"/>
    <w:qFormat/>
    <w:uiPriority w:val="0"/>
    <w:pPr>
      <w:snapToGrid w:val="0"/>
    </w:pPr>
    <w:rPr>
      <w:rFonts w:ascii="Arial" w:hAnsi="Arial"/>
    </w:rPr>
  </w:style>
  <w:style w:type="paragraph" w:styleId="9">
    <w:name w:val="toc 3"/>
    <w:basedOn w:val="1"/>
    <w:next w:val="1"/>
    <w:unhideWhenUsed/>
    <w:qFormat/>
    <w:uiPriority w:val="39"/>
    <w:pPr>
      <w:widowControl/>
      <w:spacing w:after="100" w:line="259" w:lineRule="auto"/>
      <w:ind w:left="440"/>
      <w:jc w:val="left"/>
    </w:pPr>
    <w:rPr>
      <w:rFonts w:asciiTheme="minorHAnsi" w:hAnsiTheme="minorHAnsi" w:eastAsiaTheme="minorEastAsia"/>
      <w:kern w:val="0"/>
      <w:sz w:val="22"/>
      <w:szCs w:val="22"/>
    </w:rPr>
  </w:style>
  <w:style w:type="paragraph" w:styleId="10">
    <w:name w:val="Plain Text"/>
    <w:basedOn w:val="1"/>
    <w:next w:val="1"/>
    <w:link w:val="31"/>
    <w:qFormat/>
    <w:uiPriority w:val="0"/>
    <w:rPr>
      <w:rFonts w:ascii="宋体" w:hAnsi="Courier New" w:eastAsiaTheme="minorEastAsia" w:cstheme="minorBidi"/>
      <w:szCs w:val="22"/>
    </w:rPr>
  </w:style>
  <w:style w:type="paragraph" w:styleId="11">
    <w:name w:val="Date"/>
    <w:basedOn w:val="1"/>
    <w:next w:val="1"/>
    <w:link w:val="32"/>
    <w:qFormat/>
    <w:uiPriority w:val="0"/>
    <w:pPr>
      <w:adjustRightInd w:val="0"/>
      <w:spacing w:line="360" w:lineRule="atLeast"/>
      <w:textAlignment w:val="baseline"/>
    </w:pPr>
    <w:rPr>
      <w:rFonts w:ascii="宋体" w:cs="宋体"/>
      <w:kern w:val="0"/>
      <w:sz w:val="24"/>
      <w:szCs w:val="24"/>
    </w:rPr>
  </w:style>
  <w:style w:type="paragraph" w:styleId="12">
    <w:name w:val="Balloon Text"/>
    <w:basedOn w:val="1"/>
    <w:link w:val="33"/>
    <w:semiHidden/>
    <w:unhideWhenUsed/>
    <w:qFormat/>
    <w:uiPriority w:val="99"/>
    <w:rPr>
      <w:sz w:val="18"/>
      <w:szCs w:val="18"/>
    </w:rPr>
  </w:style>
  <w:style w:type="paragraph" w:styleId="13">
    <w:name w:val="footer"/>
    <w:basedOn w:val="1"/>
    <w:link w:val="27"/>
    <w:unhideWhenUsed/>
    <w:qFormat/>
    <w:uiPriority w:val="99"/>
    <w:pPr>
      <w:tabs>
        <w:tab w:val="center" w:pos="4153"/>
        <w:tab w:val="right" w:pos="8306"/>
      </w:tabs>
      <w:snapToGrid w:val="0"/>
      <w:jc w:val="left"/>
    </w:pPr>
    <w:rPr>
      <w:sz w:val="18"/>
      <w:szCs w:val="18"/>
    </w:rPr>
  </w:style>
  <w:style w:type="paragraph" w:styleId="14">
    <w:name w:val="header"/>
    <w:basedOn w:val="1"/>
    <w:link w:val="26"/>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unhideWhenUsed/>
    <w:qFormat/>
    <w:uiPriority w:val="39"/>
    <w:pPr>
      <w:widowControl/>
      <w:spacing w:after="100" w:line="259" w:lineRule="auto"/>
      <w:jc w:val="left"/>
    </w:pPr>
    <w:rPr>
      <w:rFonts w:asciiTheme="minorHAnsi" w:hAnsiTheme="minorHAnsi" w:eastAsiaTheme="minorEastAsia"/>
      <w:kern w:val="0"/>
      <w:sz w:val="22"/>
      <w:szCs w:val="22"/>
    </w:rPr>
  </w:style>
  <w:style w:type="paragraph" w:styleId="16">
    <w:name w:val="toc 2"/>
    <w:basedOn w:val="1"/>
    <w:next w:val="1"/>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17">
    <w:name w:val="Body Text 2"/>
    <w:basedOn w:val="1"/>
    <w:link w:val="34"/>
    <w:qFormat/>
    <w:uiPriority w:val="0"/>
    <w:pPr>
      <w:spacing w:after="120" w:line="480" w:lineRule="auto"/>
    </w:pPr>
  </w:style>
  <w:style w:type="paragraph" w:styleId="18">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 w:type="paragraph" w:styleId="19">
    <w:name w:val="annotation subject"/>
    <w:basedOn w:val="5"/>
    <w:next w:val="5"/>
    <w:link w:val="35"/>
    <w:semiHidden/>
    <w:unhideWhenUsed/>
    <w:qFormat/>
    <w:uiPriority w:val="99"/>
    <w:rPr>
      <w:b/>
      <w:bCs/>
    </w:rPr>
  </w:style>
  <w:style w:type="table" w:styleId="21">
    <w:name w:val="Table Grid"/>
    <w:basedOn w:val="20"/>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basedOn w:val="22"/>
    <w:qFormat/>
    <w:uiPriority w:val="22"/>
    <w:rPr>
      <w:b/>
    </w:rPr>
  </w:style>
  <w:style w:type="character" w:styleId="24">
    <w:name w:val="Hyperlink"/>
    <w:basedOn w:val="22"/>
    <w:unhideWhenUsed/>
    <w:qFormat/>
    <w:uiPriority w:val="99"/>
    <w:rPr>
      <w:color w:val="0000FF" w:themeColor="hyperlink"/>
      <w:u w:val="single"/>
      <w14:textFill>
        <w14:solidFill>
          <w14:schemeClr w14:val="hlink"/>
        </w14:solidFill>
      </w14:textFill>
    </w:rPr>
  </w:style>
  <w:style w:type="character" w:styleId="25">
    <w:name w:val="annotation reference"/>
    <w:basedOn w:val="22"/>
    <w:semiHidden/>
    <w:unhideWhenUsed/>
    <w:qFormat/>
    <w:uiPriority w:val="99"/>
    <w:rPr>
      <w:sz w:val="21"/>
      <w:szCs w:val="21"/>
    </w:rPr>
  </w:style>
  <w:style w:type="character" w:customStyle="1" w:styleId="26">
    <w:name w:val="页眉 Char"/>
    <w:basedOn w:val="22"/>
    <w:link w:val="14"/>
    <w:qFormat/>
    <w:uiPriority w:val="99"/>
    <w:rPr>
      <w:sz w:val="18"/>
      <w:szCs w:val="18"/>
    </w:rPr>
  </w:style>
  <w:style w:type="character" w:customStyle="1" w:styleId="27">
    <w:name w:val="页脚 Char"/>
    <w:basedOn w:val="22"/>
    <w:link w:val="13"/>
    <w:qFormat/>
    <w:uiPriority w:val="99"/>
    <w:rPr>
      <w:sz w:val="18"/>
      <w:szCs w:val="18"/>
    </w:rPr>
  </w:style>
  <w:style w:type="character" w:customStyle="1" w:styleId="28">
    <w:name w:val="标题 1 Char"/>
    <w:basedOn w:val="22"/>
    <w:link w:val="2"/>
    <w:qFormat/>
    <w:uiPriority w:val="9"/>
    <w:rPr>
      <w:rFonts w:ascii="Times New Roman" w:hAnsi="Times New Roman" w:eastAsia="宋体" w:cs="Times New Roman"/>
      <w:b/>
      <w:bCs/>
      <w:kern w:val="44"/>
      <w:sz w:val="44"/>
      <w:szCs w:val="44"/>
    </w:rPr>
  </w:style>
  <w:style w:type="character" w:customStyle="1" w:styleId="29">
    <w:name w:val="标题 2 Char"/>
    <w:basedOn w:val="22"/>
    <w:link w:val="3"/>
    <w:qFormat/>
    <w:uiPriority w:val="0"/>
    <w:rPr>
      <w:rFonts w:ascii="Arial" w:hAnsi="Arial" w:eastAsia="黑体" w:cs="Arial"/>
      <w:b/>
      <w:bCs/>
      <w:sz w:val="32"/>
      <w:szCs w:val="32"/>
    </w:rPr>
  </w:style>
  <w:style w:type="character" w:customStyle="1" w:styleId="30">
    <w:name w:val="批注文字 Char"/>
    <w:basedOn w:val="22"/>
    <w:link w:val="5"/>
    <w:semiHidden/>
    <w:qFormat/>
    <w:uiPriority w:val="99"/>
    <w:rPr>
      <w:rFonts w:ascii="Times New Roman" w:hAnsi="Times New Roman" w:eastAsia="宋体" w:cs="Times New Roman"/>
      <w:szCs w:val="21"/>
    </w:rPr>
  </w:style>
  <w:style w:type="character" w:customStyle="1" w:styleId="31">
    <w:name w:val="纯文本 Char"/>
    <w:basedOn w:val="22"/>
    <w:link w:val="10"/>
    <w:qFormat/>
    <w:uiPriority w:val="0"/>
    <w:rPr>
      <w:rFonts w:ascii="宋体" w:hAnsi="Courier New"/>
    </w:rPr>
  </w:style>
  <w:style w:type="character" w:customStyle="1" w:styleId="32">
    <w:name w:val="日期 Char"/>
    <w:basedOn w:val="22"/>
    <w:link w:val="11"/>
    <w:qFormat/>
    <w:uiPriority w:val="0"/>
    <w:rPr>
      <w:rFonts w:ascii="宋体" w:hAnsi="Times New Roman" w:eastAsia="宋体" w:cs="宋体"/>
      <w:kern w:val="0"/>
      <w:sz w:val="24"/>
      <w:szCs w:val="24"/>
    </w:rPr>
  </w:style>
  <w:style w:type="character" w:customStyle="1" w:styleId="33">
    <w:name w:val="批注框文本 Char"/>
    <w:basedOn w:val="22"/>
    <w:link w:val="12"/>
    <w:semiHidden/>
    <w:qFormat/>
    <w:uiPriority w:val="99"/>
    <w:rPr>
      <w:rFonts w:ascii="Times New Roman" w:hAnsi="Times New Roman" w:eastAsia="宋体" w:cs="Times New Roman"/>
      <w:sz w:val="18"/>
      <w:szCs w:val="18"/>
    </w:rPr>
  </w:style>
  <w:style w:type="character" w:customStyle="1" w:styleId="34">
    <w:name w:val="正文文本 2 Char"/>
    <w:basedOn w:val="22"/>
    <w:link w:val="17"/>
    <w:qFormat/>
    <w:uiPriority w:val="0"/>
    <w:rPr>
      <w:rFonts w:ascii="Times New Roman" w:hAnsi="Times New Roman" w:eastAsia="宋体" w:cs="Times New Roman"/>
      <w:szCs w:val="21"/>
    </w:rPr>
  </w:style>
  <w:style w:type="character" w:customStyle="1" w:styleId="35">
    <w:name w:val="批注主题 Char"/>
    <w:basedOn w:val="30"/>
    <w:link w:val="19"/>
    <w:semiHidden/>
    <w:qFormat/>
    <w:uiPriority w:val="99"/>
    <w:rPr>
      <w:rFonts w:ascii="Times New Roman" w:hAnsi="Times New Roman" w:eastAsia="宋体" w:cs="Times New Roman"/>
      <w:b/>
      <w:bCs/>
      <w:szCs w:val="21"/>
    </w:rPr>
  </w:style>
  <w:style w:type="character" w:customStyle="1" w:styleId="36">
    <w:name w:val="纯文本 字符"/>
    <w:basedOn w:val="22"/>
    <w:semiHidden/>
    <w:qFormat/>
    <w:uiPriority w:val="99"/>
    <w:rPr>
      <w:rFonts w:hAnsi="Courier New" w:cs="Courier New" w:asciiTheme="minorEastAsia"/>
      <w:szCs w:val="21"/>
    </w:rPr>
  </w:style>
  <w:style w:type="paragraph" w:styleId="37">
    <w:name w:val="List Paragraph"/>
    <w:basedOn w:val="1"/>
    <w:qFormat/>
    <w:uiPriority w:val="34"/>
    <w:pPr>
      <w:ind w:firstLine="420" w:firstLineChars="200"/>
    </w:pPr>
  </w:style>
  <w:style w:type="paragraph" w:customStyle="1" w:styleId="38">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39">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40">
    <w:name w:val="TOC Heading"/>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41">
    <w:name w:val="qowt-font10-gbk"/>
    <w:basedOn w:val="22"/>
    <w:qFormat/>
    <w:uiPriority w:val="0"/>
  </w:style>
  <w:style w:type="table" w:customStyle="1" w:styleId="42">
    <w:name w:val="Table Normal"/>
    <w:unhideWhenUsed/>
    <w:qFormat/>
    <w:uiPriority w:val="0"/>
    <w:tblPr>
      <w:tblCellMar>
        <w:top w:w="0" w:type="dxa"/>
        <w:left w:w="0" w:type="dxa"/>
        <w:bottom w:w="0" w:type="dxa"/>
        <w:right w:w="0" w:type="dxa"/>
      </w:tblCellMar>
    </w:tblPr>
  </w:style>
  <w:style w:type="character" w:customStyle="1" w:styleId="43">
    <w:name w:val="NormalCharacter"/>
    <w:qFormat/>
    <w:uiPriority w:val="0"/>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1</Pages>
  <Words>2840</Words>
  <Characters>2949</Characters>
  <Lines>57</Lines>
  <Paragraphs>16</Paragraphs>
  <TotalTime>0</TotalTime>
  <ScaleCrop>false</ScaleCrop>
  <LinksUpToDate>false</LinksUpToDate>
  <CharactersWithSpaces>3020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2020-03-18T03:22:00Z</dcterms:created>
  <dc:creator>赵璧</dc:creator>
  <cp:lastModifiedBy>醉</cp:lastModifiedBy>
  <cp:lastPrinted>2024-12-05T03:36:00Z</cp:lastPrinted>
  <dcterms:modified xsi:type="dcterms:W3CDTF">2024-12-06T06:10:55Z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9C55B0514AEA40F4BE1CD66622972840_13</vt:lpwstr>
  </property>
</Properties>
</file>