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spacing w:line="360" w:lineRule="auto"/>
        <w:jc w:val="left"/>
        <w:rPr>
          <w:rFonts w:hint="eastAsia" w:eastAsia="黑体"/>
          <w:b/>
          <w:szCs w:val="21"/>
        </w:rPr>
      </w:pPr>
    </w:p>
    <w:p>
      <w:pPr>
        <w:jc w:val="center"/>
        <w:rPr>
          <w:rFonts w:ascii="黑体" w:eastAsia="黑体"/>
          <w:b/>
          <w:sz w:val="52"/>
          <w:szCs w:val="52"/>
        </w:rPr>
      </w:pPr>
      <w:r>
        <w:rPr>
          <w:rFonts w:hint="eastAsia" w:ascii="黑体" w:eastAsia="黑体"/>
          <w:b/>
          <w:sz w:val="52"/>
          <w:szCs w:val="52"/>
        </w:rPr>
        <w:t>江西省公共资源电子交易服务平台</w:t>
      </w:r>
    </w:p>
    <w:p>
      <w:pPr>
        <w:jc w:val="center"/>
        <w:rPr>
          <w:rFonts w:ascii="黑体" w:eastAsia="黑体"/>
          <w:b/>
          <w:sz w:val="52"/>
          <w:szCs w:val="52"/>
        </w:rPr>
      </w:pPr>
      <w:r>
        <w:rPr>
          <w:rFonts w:hint="eastAsia" w:ascii="黑体" w:eastAsia="黑体"/>
          <w:b/>
          <w:sz w:val="52"/>
          <w:szCs w:val="52"/>
        </w:rPr>
        <w:t>政府采购子系统</w:t>
      </w:r>
    </w:p>
    <w:p>
      <w:pPr>
        <w:pStyle w:val="47"/>
        <w:ind w:firstLine="1827" w:firstLineChars="350"/>
        <w:jc w:val="left"/>
        <w:rPr>
          <w:rFonts w:hint="eastAsia" w:ascii="宋体" w:hAnsi="宋体" w:eastAsia="宋体"/>
          <w:b/>
          <w:bCs/>
          <w:lang w:eastAsia="zh-CN"/>
        </w:rPr>
      </w:pPr>
      <w:r>
        <w:rPr>
          <w:rFonts w:hint="eastAsia" w:ascii="黑体" w:eastAsia="黑体"/>
          <w:b/>
          <w:sz w:val="52"/>
          <w:szCs w:val="52"/>
          <w:lang w:eastAsia="zh-CN"/>
        </w:rPr>
        <w:t>新协议采购流程操作手册</w:t>
      </w: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0" w:firstLineChars="0"/>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361"/>
        <w:jc w:val="left"/>
        <w:rPr>
          <w:rFonts w:ascii="宋体" w:hAnsi="宋体"/>
          <w:b/>
          <w:bCs/>
        </w:rPr>
      </w:pPr>
    </w:p>
    <w:p>
      <w:pPr>
        <w:pStyle w:val="47"/>
        <w:ind w:firstLine="0" w:firstLineChars="0"/>
        <w:jc w:val="left"/>
        <w:rPr>
          <w:rFonts w:ascii="宋体" w:hAnsi="宋体"/>
          <w:b/>
          <w:bCs/>
        </w:rPr>
      </w:pPr>
      <w:r>
        <w:rPr>
          <w:rFonts w:hint="eastAsia" w:ascii="宋体" w:hAnsi="宋体"/>
          <w:b/>
          <w:bCs/>
        </w:rPr>
        <w:t xml:space="preserve">   </w:t>
      </w:r>
    </w:p>
    <w:p>
      <w:pPr>
        <w:pStyle w:val="47"/>
        <w:ind w:firstLine="361"/>
        <w:jc w:val="left"/>
        <w:rPr>
          <w:rFonts w:ascii="宋体" w:hAnsi="宋体"/>
          <w:b/>
          <w:bCs/>
        </w:rPr>
      </w:pPr>
    </w:p>
    <w:p>
      <w:pPr>
        <w:pStyle w:val="47"/>
        <w:ind w:firstLine="361"/>
        <w:jc w:val="left"/>
        <w:rPr>
          <w:rFonts w:ascii="宋体" w:hAnsi="宋体"/>
          <w:b/>
          <w:bCs/>
        </w:rPr>
      </w:pPr>
    </w:p>
    <w:p>
      <w:pPr>
        <w:jc w:val="center"/>
        <w:rPr>
          <w:rFonts w:eastAsia="仿宋_GB2312"/>
          <w:b/>
          <w:sz w:val="28"/>
          <w:szCs w:val="28"/>
          <w:shd w:val="pct10" w:color="auto" w:fill="FFFFFF"/>
        </w:rPr>
      </w:pPr>
      <w:r>
        <w:rPr>
          <w:rFonts w:hint="eastAsia" w:eastAsia="仿宋_GB2312"/>
          <w:b/>
          <w:sz w:val="28"/>
          <w:szCs w:val="28"/>
          <w:shd w:val="pct10" w:color="auto" w:fill="FFFFFF"/>
        </w:rPr>
        <w:t>免费技术支持电话：</w:t>
      </w:r>
      <w:r>
        <w:rPr>
          <w:rFonts w:eastAsia="仿宋_GB2312"/>
          <w:b/>
          <w:sz w:val="28"/>
          <w:szCs w:val="28"/>
          <w:shd w:val="pct10" w:color="auto" w:fill="FFFFFF"/>
        </w:rPr>
        <w:t>400-998-0000</w:t>
      </w:r>
    </w:p>
    <w:p>
      <w:pPr>
        <w:spacing w:after="6240" w:afterLines="2000"/>
        <w:rPr>
          <w:b/>
        </w:rPr>
      </w:pPr>
    </w:p>
    <w:p>
      <w:pPr>
        <w:pStyle w:val="43"/>
        <w:jc w:val="center"/>
        <w:rPr>
          <w:color w:val="000000" w:themeColor="text1"/>
          <w:sz w:val="36"/>
          <w:szCs w:val="36"/>
        </w:rPr>
      </w:pPr>
      <w:r>
        <w:rPr>
          <w:color w:val="000000" w:themeColor="text1"/>
          <w:sz w:val="36"/>
          <w:szCs w:val="36"/>
          <w:lang w:val="zh-CN"/>
        </w:rPr>
        <w:t>目录</w:t>
      </w:r>
    </w:p>
    <w:p>
      <w:pPr>
        <w:pStyle w:val="22"/>
        <w:tabs>
          <w:tab w:val="left" w:pos="420"/>
          <w:tab w:val="right" w:leader="dot" w:pos="9016"/>
        </w:tabs>
        <w:spacing w:before="312"/>
        <w:rPr>
          <w:rFonts w:asciiTheme="minorHAnsi" w:hAnsiTheme="minorHAnsi" w:eastAsiaTheme="minorEastAsia" w:cstheme="minorBidi"/>
          <w:b w:val="0"/>
          <w:szCs w:val="22"/>
        </w:rPr>
      </w:pPr>
      <w:r>
        <w:fldChar w:fldCharType="begin"/>
      </w:r>
      <w:r>
        <w:instrText xml:space="preserve"> TOC \o "1-3" \h \z \u </w:instrText>
      </w:r>
      <w:r>
        <w:fldChar w:fldCharType="separate"/>
      </w:r>
      <w:r>
        <w:fldChar w:fldCharType="begin"/>
      </w:r>
      <w:r>
        <w:instrText xml:space="preserve"> HYPERLINK \l "_Toc501551400" </w:instrText>
      </w:r>
      <w:r>
        <w:fldChar w:fldCharType="separate"/>
      </w:r>
      <w:r>
        <w:rPr>
          <w:rStyle w:val="34"/>
          <w:snapToGrid w:val="0"/>
          <w:w w:val="0"/>
          <w:kern w:val="0"/>
        </w:rPr>
        <w:t>1.</w:t>
      </w:r>
      <w:r>
        <w:rPr>
          <w:rFonts w:asciiTheme="minorHAnsi" w:hAnsiTheme="minorHAnsi" w:eastAsiaTheme="minorEastAsia" w:cstheme="minorBidi"/>
          <w:b w:val="0"/>
          <w:szCs w:val="22"/>
        </w:rPr>
        <w:tab/>
      </w:r>
      <w:r>
        <w:rPr>
          <w:rStyle w:val="34"/>
          <w:rFonts w:hint="eastAsia"/>
        </w:rPr>
        <w:t>系统大致介绍</w:t>
      </w:r>
      <w:r>
        <w:tab/>
      </w:r>
      <w:r>
        <w:fldChar w:fldCharType="begin"/>
      </w:r>
      <w:r>
        <w:instrText xml:space="preserve"> PAGEREF _Toc501551400 \h </w:instrText>
      </w:r>
      <w:r>
        <w:fldChar w:fldCharType="separate"/>
      </w:r>
      <w:r>
        <w:t>4</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"_Toc501551401" </w:instrText>
      </w:r>
      <w:r>
        <w:fldChar w:fldCharType="separate"/>
      </w:r>
      <w:r>
        <w:rPr>
          <w:rStyle w:val="34"/>
          <w:snapToGrid w:val="0"/>
          <w:w w:val="0"/>
          <w:kern w:val="0"/>
        </w:rPr>
        <w:t>1.1.</w:t>
      </w:r>
      <w:r>
        <w:rPr>
          <w:rFonts w:asciiTheme="minorHAnsi" w:hAnsiTheme="minorHAnsi" w:eastAsiaTheme="minorEastAsia" w:cstheme="minorBidi"/>
          <w:szCs w:val="22"/>
        </w:rPr>
        <w:tab/>
      </w:r>
      <w:r>
        <w:rPr>
          <w:rStyle w:val="34"/>
          <w:rFonts w:hint="eastAsia"/>
        </w:rPr>
        <w:t>门户网站简介</w:t>
      </w:r>
      <w:r>
        <w:tab/>
      </w:r>
      <w:r>
        <w:fldChar w:fldCharType="begin"/>
      </w:r>
      <w:r>
        <w:instrText xml:space="preserve"> PAGEREF _Toc501551401 \h </w:instrText>
      </w:r>
      <w:r>
        <w:fldChar w:fldCharType="separate"/>
      </w:r>
      <w:r>
        <w:t>4</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"_Toc501551402" </w:instrText>
      </w:r>
      <w:r>
        <w:fldChar w:fldCharType="separate"/>
      </w:r>
      <w:r>
        <w:rPr>
          <w:rStyle w:val="34"/>
          <w:snapToGrid w:val="0"/>
          <w:w w:val="0"/>
          <w:kern w:val="0"/>
        </w:rPr>
        <w:t>1.2.</w:t>
      </w:r>
      <w:r>
        <w:rPr>
          <w:rFonts w:asciiTheme="minorHAnsi" w:hAnsiTheme="minorHAnsi" w:eastAsiaTheme="minorEastAsia" w:cstheme="minorBidi"/>
          <w:szCs w:val="22"/>
        </w:rPr>
        <w:tab/>
      </w:r>
      <w:r>
        <w:rPr>
          <w:rStyle w:val="34"/>
          <w:rFonts w:hint="eastAsia"/>
        </w:rPr>
        <w:t>用户登录</w:t>
      </w:r>
      <w:r>
        <w:tab/>
      </w:r>
      <w:r>
        <w:fldChar w:fldCharType="begin"/>
      </w:r>
      <w:r>
        <w:instrText xml:space="preserve"> PAGEREF _Toc501551402 \h </w:instrText>
      </w:r>
      <w:r>
        <w:fldChar w:fldCharType="separate"/>
      </w:r>
      <w:r>
        <w:t>5</w:t>
      </w:r>
      <w:r>
        <w:fldChar w:fldCharType="end"/>
      </w:r>
      <w:r>
        <w:fldChar w:fldCharType="end"/>
      </w:r>
    </w:p>
    <w:p>
      <w:pPr>
        <w:pStyle w:val="16"/>
        <w:rPr>
          <w:rFonts w:asciiTheme="minorHAnsi" w:hAnsiTheme="minorHAnsi" w:eastAsiaTheme="minorEastAsia" w:cstheme="minorBidi"/>
          <w:szCs w:val="22"/>
        </w:rPr>
      </w:pPr>
      <w:r>
        <w:fldChar w:fldCharType="begin"/>
      </w:r>
      <w:r>
        <w:instrText xml:space="preserve"> HYPERLINK \l "_Toc501551403" </w:instrText>
      </w:r>
      <w:r>
        <w:fldChar w:fldCharType="separate"/>
      </w:r>
      <w:r>
        <w:rPr>
          <w:rStyle w:val="34"/>
        </w:rPr>
        <w:t>1.2.1.</w:t>
      </w:r>
      <w:r>
        <w:rPr>
          <w:rFonts w:asciiTheme="minorHAnsi" w:hAnsiTheme="minorHAnsi" w:eastAsiaTheme="minorEastAsia" w:cstheme="minorBidi"/>
          <w:szCs w:val="22"/>
        </w:rPr>
        <w:tab/>
      </w:r>
      <w:r>
        <w:rPr>
          <w:rStyle w:val="34"/>
          <w:rFonts w:hint="eastAsia"/>
        </w:rPr>
        <w:t>完善基本信息</w:t>
      </w:r>
      <w:r>
        <w:tab/>
      </w:r>
      <w:r>
        <w:fldChar w:fldCharType="begin"/>
      </w:r>
      <w:r>
        <w:instrText xml:space="preserve"> PAGEREF _Toc501551403 \h </w:instrText>
      </w:r>
      <w:r>
        <w:fldChar w:fldCharType="separate"/>
      </w:r>
      <w:r>
        <w:t>8</w:t>
      </w:r>
      <w:r>
        <w:fldChar w:fldCharType="end"/>
      </w:r>
      <w:r>
        <w:fldChar w:fldCharType="end"/>
      </w:r>
    </w:p>
    <w:p>
      <w:pPr>
        <w:pStyle w:val="16"/>
        <w:rPr>
          <w:rFonts w:asciiTheme="minorHAnsi" w:hAnsiTheme="minorHAnsi" w:eastAsiaTheme="minorEastAsia" w:cstheme="minorBidi"/>
          <w:szCs w:val="22"/>
        </w:rPr>
      </w:pPr>
      <w:r>
        <w:fldChar w:fldCharType="begin"/>
      </w:r>
      <w:r>
        <w:instrText xml:space="preserve"> HYPERLINK \l "_Toc501551404" </w:instrText>
      </w:r>
      <w:r>
        <w:fldChar w:fldCharType="separate"/>
      </w:r>
      <w:r>
        <w:rPr>
          <w:rStyle w:val="34"/>
        </w:rPr>
        <w:t>1.2.2.</w:t>
      </w:r>
      <w:r>
        <w:rPr>
          <w:rFonts w:asciiTheme="minorHAnsi" w:hAnsiTheme="minorHAnsi" w:eastAsiaTheme="minorEastAsia" w:cstheme="minorBidi"/>
          <w:szCs w:val="22"/>
        </w:rPr>
        <w:tab/>
      </w:r>
      <w:r>
        <w:rPr>
          <w:rStyle w:val="34"/>
          <w:rFonts w:hint="eastAsia"/>
        </w:rPr>
        <w:t>设置主管预算单位</w:t>
      </w:r>
      <w:r>
        <w:tab/>
      </w:r>
      <w:r>
        <w:fldChar w:fldCharType="begin"/>
      </w:r>
      <w:r>
        <w:instrText xml:space="preserve"> PAGEREF _Toc501551404 \h </w:instrText>
      </w:r>
      <w:r>
        <w:fldChar w:fldCharType="separate"/>
      </w:r>
      <w:r>
        <w:t>9</w:t>
      </w:r>
      <w:r>
        <w:fldChar w:fldCharType="end"/>
      </w:r>
      <w:r>
        <w:fldChar w:fldCharType="end"/>
      </w:r>
    </w:p>
    <w:p>
      <w:pPr>
        <w:pStyle w:val="16"/>
        <w:rPr>
          <w:rFonts w:asciiTheme="minorHAnsi" w:hAnsiTheme="minorHAnsi" w:eastAsiaTheme="minorEastAsia" w:cstheme="minorBidi"/>
          <w:szCs w:val="22"/>
        </w:rPr>
      </w:pPr>
      <w:r>
        <w:fldChar w:fldCharType="begin"/>
      </w:r>
      <w:r>
        <w:instrText xml:space="preserve"> HYPERLINK \l "_Toc501551405" </w:instrText>
      </w:r>
      <w:r>
        <w:fldChar w:fldCharType="separate"/>
      </w:r>
      <w:r>
        <w:rPr>
          <w:rStyle w:val="34"/>
        </w:rPr>
        <w:t>1.2.3.</w:t>
      </w:r>
      <w:r>
        <w:rPr>
          <w:rFonts w:asciiTheme="minorHAnsi" w:hAnsiTheme="minorHAnsi" w:eastAsiaTheme="minorEastAsia" w:cstheme="minorBidi"/>
          <w:szCs w:val="22"/>
        </w:rPr>
        <w:tab/>
      </w:r>
      <w:r>
        <w:rPr>
          <w:rStyle w:val="34"/>
          <w:rFonts w:hint="eastAsia"/>
        </w:rPr>
        <w:t>确认隶属关系</w:t>
      </w:r>
      <w:r>
        <w:tab/>
      </w:r>
      <w:r>
        <w:fldChar w:fldCharType="begin"/>
      </w:r>
      <w:r>
        <w:instrText xml:space="preserve"> PAGEREF _Toc501551405 \h </w:instrText>
      </w:r>
      <w:r>
        <w:fldChar w:fldCharType="separate"/>
      </w:r>
      <w:r>
        <w:t>10</w:t>
      </w:r>
      <w:r>
        <w:fldChar w:fldCharType="end"/>
      </w:r>
      <w:r>
        <w:fldChar w:fldCharType="end"/>
      </w:r>
    </w:p>
    <w:p>
      <w:pPr>
        <w:pStyle w:val="16"/>
        <w:rPr>
          <w:rFonts w:asciiTheme="minorHAnsi" w:hAnsiTheme="minorHAnsi" w:eastAsiaTheme="minorEastAsia" w:cstheme="minorBidi"/>
          <w:szCs w:val="22"/>
        </w:rPr>
      </w:pPr>
      <w:r>
        <w:fldChar w:fldCharType="begin"/>
      </w:r>
      <w:r>
        <w:instrText xml:space="preserve"> HYPERLINK \l "_Toc501551406" </w:instrText>
      </w:r>
      <w:r>
        <w:fldChar w:fldCharType="separate"/>
      </w:r>
      <w:r>
        <w:rPr>
          <w:rStyle w:val="34"/>
        </w:rPr>
        <w:t>1.2.4.</w:t>
      </w:r>
      <w:r>
        <w:rPr>
          <w:rFonts w:asciiTheme="minorHAnsi" w:hAnsiTheme="minorHAnsi" w:eastAsiaTheme="minorEastAsia" w:cstheme="minorBidi"/>
          <w:szCs w:val="22"/>
        </w:rPr>
        <w:tab/>
      </w:r>
      <w:r>
        <w:rPr>
          <w:rStyle w:val="34"/>
        </w:rPr>
        <w:t>CA</w:t>
      </w:r>
      <w:r>
        <w:rPr>
          <w:rStyle w:val="34"/>
          <w:rFonts w:hint="eastAsia"/>
        </w:rPr>
        <w:t>证书激活</w:t>
      </w:r>
      <w:r>
        <w:tab/>
      </w:r>
      <w:r>
        <w:fldChar w:fldCharType="begin"/>
      </w:r>
      <w:r>
        <w:instrText xml:space="preserve"> PAGEREF _Toc501551406 \h </w:instrText>
      </w:r>
      <w:r>
        <w:fldChar w:fldCharType="separate"/>
      </w:r>
      <w:r>
        <w:t>11</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"_Toc501551407" </w:instrText>
      </w:r>
      <w:r>
        <w:fldChar w:fldCharType="separate"/>
      </w:r>
      <w:r>
        <w:rPr>
          <w:rStyle w:val="34"/>
          <w:snapToGrid w:val="0"/>
          <w:w w:val="0"/>
          <w:kern w:val="0"/>
        </w:rPr>
        <w:t>1.3.</w:t>
      </w:r>
      <w:r>
        <w:rPr>
          <w:rFonts w:asciiTheme="minorHAnsi" w:hAnsiTheme="minorHAnsi" w:eastAsiaTheme="minorEastAsia" w:cstheme="minorBidi"/>
          <w:szCs w:val="22"/>
        </w:rPr>
        <w:tab/>
      </w:r>
      <w:r>
        <w:rPr>
          <w:rStyle w:val="34"/>
          <w:rFonts w:hint="eastAsia"/>
        </w:rPr>
        <w:t>业务模块简介</w:t>
      </w:r>
      <w:r>
        <w:tab/>
      </w:r>
      <w:r>
        <w:fldChar w:fldCharType="begin"/>
      </w:r>
      <w:r>
        <w:instrText xml:space="preserve"> PAGEREF _Toc501551407 \h </w:instrText>
      </w:r>
      <w:r>
        <w:fldChar w:fldCharType="separate"/>
      </w:r>
      <w:r>
        <w:t>12</w:t>
      </w:r>
      <w:r>
        <w:fldChar w:fldCharType="end"/>
      </w:r>
      <w:r>
        <w:fldChar w:fldCharType="end"/>
      </w:r>
    </w:p>
    <w:p>
      <w:pPr>
        <w:pStyle w:val="22"/>
        <w:tabs>
          <w:tab w:val="left" w:pos="420"/>
          <w:tab w:val="right" w:leader="dot" w:pos="9016"/>
        </w:tabs>
        <w:spacing w:before="312"/>
        <w:rPr>
          <w:rFonts w:asciiTheme="minorHAnsi" w:hAnsiTheme="minorHAnsi" w:eastAsiaTheme="minorEastAsia" w:cstheme="minorBidi"/>
          <w:b w:val="0"/>
          <w:szCs w:val="22"/>
        </w:rPr>
      </w:pPr>
      <w:r>
        <w:fldChar w:fldCharType="begin"/>
      </w:r>
      <w:r>
        <w:instrText xml:space="preserve"> HYPERLINK \l "_Toc501551408" </w:instrText>
      </w:r>
      <w:r>
        <w:fldChar w:fldCharType="separate"/>
      </w:r>
      <w:r>
        <w:rPr>
          <w:rStyle w:val="34"/>
          <w:snapToGrid w:val="0"/>
          <w:w w:val="0"/>
          <w:kern w:val="0"/>
        </w:rPr>
        <w:t>2.</w:t>
      </w:r>
      <w:r>
        <w:rPr>
          <w:rFonts w:asciiTheme="minorHAnsi" w:hAnsiTheme="minorHAnsi" w:eastAsiaTheme="minorEastAsia" w:cstheme="minorBidi"/>
          <w:b w:val="0"/>
          <w:szCs w:val="22"/>
        </w:rPr>
        <w:tab/>
      </w:r>
      <w:r>
        <w:rPr>
          <w:rStyle w:val="34"/>
          <w:rFonts w:hint="eastAsia"/>
        </w:rPr>
        <w:t>采购计划</w:t>
      </w:r>
      <w:r>
        <w:tab/>
      </w:r>
      <w:r>
        <w:fldChar w:fldCharType="begin"/>
      </w:r>
      <w:r>
        <w:instrText xml:space="preserve"> PAGEREF _Toc501551408 \h </w:instrText>
      </w:r>
      <w:r>
        <w:fldChar w:fldCharType="separate"/>
      </w:r>
      <w:r>
        <w:t>13</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"_Toc501551409" </w:instrText>
      </w:r>
      <w:r>
        <w:fldChar w:fldCharType="separate"/>
      </w:r>
      <w:r>
        <w:rPr>
          <w:rStyle w:val="34"/>
          <w:snapToGrid w:val="0"/>
          <w:w w:val="0"/>
          <w:kern w:val="0"/>
        </w:rPr>
        <w:t>2.1.</w:t>
      </w:r>
      <w:r>
        <w:rPr>
          <w:rFonts w:asciiTheme="minorHAnsi" w:hAnsiTheme="minorHAnsi" w:eastAsiaTheme="minorEastAsia" w:cstheme="minorBidi"/>
          <w:szCs w:val="22"/>
        </w:rPr>
        <w:tab/>
      </w:r>
      <w:r>
        <w:rPr>
          <w:rStyle w:val="34"/>
          <w:rFonts w:hint="eastAsia"/>
        </w:rPr>
        <w:t>申报采购计划</w:t>
      </w:r>
      <w:r>
        <w:tab/>
      </w:r>
      <w:r>
        <w:fldChar w:fldCharType="begin"/>
      </w:r>
      <w:r>
        <w:instrText xml:space="preserve"> PAGEREF _Toc501551409 \h </w:instrText>
      </w:r>
      <w:r>
        <w:fldChar w:fldCharType="separate"/>
      </w:r>
      <w:r>
        <w:t>13</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"_Toc501551410" </w:instrText>
      </w:r>
      <w:r>
        <w:fldChar w:fldCharType="separate"/>
      </w:r>
      <w:r>
        <w:rPr>
          <w:rStyle w:val="34"/>
          <w:snapToGrid w:val="0"/>
          <w:w w:val="0"/>
          <w:kern w:val="0"/>
        </w:rPr>
        <w:t>2.2.</w:t>
      </w:r>
      <w:r>
        <w:rPr>
          <w:rFonts w:asciiTheme="minorHAnsi" w:hAnsiTheme="minorHAnsi" w:eastAsiaTheme="minorEastAsia" w:cstheme="minorBidi"/>
          <w:szCs w:val="22"/>
        </w:rPr>
        <w:tab/>
      </w:r>
      <w:r>
        <w:rPr>
          <w:rStyle w:val="34"/>
          <w:rFonts w:hint="eastAsia"/>
        </w:rPr>
        <w:t>挑选组织形式</w:t>
      </w:r>
      <w:r>
        <w:tab/>
      </w:r>
      <w:r>
        <w:fldChar w:fldCharType="begin"/>
      </w:r>
      <w:r>
        <w:instrText xml:space="preserve"> PAGEREF _Toc501551410 \h </w:instrText>
      </w:r>
      <w:r>
        <w:fldChar w:fldCharType="separate"/>
      </w:r>
      <w:r>
        <w:t>15</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"_Toc501551411" </w:instrText>
      </w:r>
      <w:r>
        <w:fldChar w:fldCharType="separate"/>
      </w:r>
      <w:r>
        <w:rPr>
          <w:rStyle w:val="34"/>
          <w:snapToGrid w:val="0"/>
          <w:w w:val="0"/>
          <w:kern w:val="0"/>
        </w:rPr>
        <w:t>2.3.</w:t>
      </w:r>
      <w:r>
        <w:rPr>
          <w:rFonts w:asciiTheme="minorHAnsi" w:hAnsiTheme="minorHAnsi" w:eastAsiaTheme="minorEastAsia" w:cstheme="minorBidi"/>
          <w:szCs w:val="22"/>
        </w:rPr>
        <w:tab/>
      </w:r>
      <w:r>
        <w:rPr>
          <w:rStyle w:val="34"/>
          <w:rFonts w:hint="eastAsia"/>
        </w:rPr>
        <w:t>指定集采中心</w:t>
      </w:r>
      <w:r>
        <w:tab/>
      </w:r>
      <w:r>
        <w:fldChar w:fldCharType="begin"/>
      </w:r>
      <w:r>
        <w:instrText xml:space="preserve"> PAGEREF _Toc501551411 \h </w:instrText>
      </w:r>
      <w:r>
        <w:fldChar w:fldCharType="separate"/>
      </w:r>
      <w:r>
        <w:t>17</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"_Toc501551412" </w:instrText>
      </w:r>
      <w:r>
        <w:fldChar w:fldCharType="separate"/>
      </w:r>
      <w:r>
        <w:rPr>
          <w:rStyle w:val="34"/>
          <w:snapToGrid w:val="0"/>
          <w:w w:val="0"/>
          <w:kern w:val="0"/>
        </w:rPr>
        <w:t>2.4.</w:t>
      </w:r>
      <w:r>
        <w:rPr>
          <w:rFonts w:asciiTheme="minorHAnsi" w:hAnsiTheme="minorHAnsi" w:eastAsiaTheme="minorEastAsia" w:cstheme="minorBidi"/>
          <w:szCs w:val="22"/>
        </w:rPr>
        <w:tab/>
      </w:r>
      <w:r>
        <w:rPr>
          <w:rStyle w:val="34"/>
          <w:rFonts w:hint="eastAsia" w:ascii="宋体" w:hAnsi="宋体" w:cs="宋体"/>
          <w:kern w:val="0"/>
        </w:rPr>
        <w:t>选择采购机构和采购方式</w:t>
      </w:r>
      <w:r>
        <w:tab/>
      </w:r>
      <w:r>
        <w:fldChar w:fldCharType="begin"/>
      </w:r>
      <w:r>
        <w:instrText xml:space="preserve"> PAGEREF _Toc501551412 \h </w:instrText>
      </w:r>
      <w:r>
        <w:fldChar w:fldCharType="separate"/>
      </w:r>
      <w:r>
        <w:t>18</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"_Toc501551413" </w:instrText>
      </w:r>
      <w:r>
        <w:fldChar w:fldCharType="separate"/>
      </w:r>
      <w:r>
        <w:rPr>
          <w:rStyle w:val="34"/>
          <w:snapToGrid w:val="0"/>
          <w:w w:val="0"/>
          <w:kern w:val="0"/>
        </w:rPr>
        <w:t>2.5.</w:t>
      </w:r>
      <w:r>
        <w:rPr>
          <w:rFonts w:asciiTheme="minorHAnsi" w:hAnsiTheme="minorHAnsi" w:eastAsiaTheme="minorEastAsia" w:cstheme="minorBidi"/>
          <w:szCs w:val="22"/>
        </w:rPr>
        <w:tab/>
      </w:r>
      <w:r>
        <w:rPr>
          <w:rStyle w:val="34"/>
          <w:rFonts w:hint="eastAsia" w:ascii="宋体" w:hAnsi="宋体" w:cs="宋体"/>
          <w:kern w:val="0"/>
        </w:rPr>
        <w:t>指定社会代理</w:t>
      </w:r>
      <w:r>
        <w:tab/>
      </w:r>
      <w:r>
        <w:fldChar w:fldCharType="begin"/>
      </w:r>
      <w:r>
        <w:instrText xml:space="preserve"> PAGEREF _Toc501551413 \h </w:instrText>
      </w:r>
      <w:r>
        <w:fldChar w:fldCharType="separate"/>
      </w:r>
      <w:r>
        <w:t>18</w:t>
      </w:r>
      <w:r>
        <w:fldChar w:fldCharType="end"/>
      </w:r>
      <w:r>
        <w:fldChar w:fldCharType="end"/>
      </w:r>
    </w:p>
    <w:p>
      <w:pPr>
        <w:pStyle w:val="22"/>
        <w:tabs>
          <w:tab w:val="left" w:pos="420"/>
          <w:tab w:val="right" w:leader="dot" w:pos="9016"/>
        </w:tabs>
        <w:spacing w:before="312"/>
        <w:rPr>
          <w:rFonts w:asciiTheme="minorHAnsi" w:hAnsiTheme="minorHAnsi" w:eastAsiaTheme="minorEastAsia" w:cstheme="minorBidi"/>
          <w:b w:val="0"/>
          <w:szCs w:val="22"/>
        </w:rPr>
      </w:pPr>
      <w:r>
        <w:fldChar w:fldCharType="begin"/>
      </w:r>
      <w:r>
        <w:instrText xml:space="preserve"> HYPERLINK \l "_Toc501551414" </w:instrText>
      </w:r>
      <w:r>
        <w:fldChar w:fldCharType="separate"/>
      </w:r>
      <w:r>
        <w:rPr>
          <w:rStyle w:val="34"/>
          <w:snapToGrid w:val="0"/>
          <w:w w:val="0"/>
          <w:kern w:val="0"/>
        </w:rPr>
        <w:t>3.</w:t>
      </w:r>
      <w:r>
        <w:rPr>
          <w:rFonts w:asciiTheme="minorHAnsi" w:hAnsiTheme="minorHAnsi" w:eastAsiaTheme="minorEastAsia" w:cstheme="minorBidi"/>
          <w:b w:val="0"/>
          <w:szCs w:val="22"/>
        </w:rPr>
        <w:tab/>
      </w:r>
      <w:r>
        <w:rPr>
          <w:rStyle w:val="34"/>
          <w:rFonts w:hint="eastAsia"/>
        </w:rPr>
        <w:t>委托采购</w:t>
      </w:r>
      <w:r>
        <w:tab/>
      </w:r>
      <w:r>
        <w:fldChar w:fldCharType="begin"/>
      </w:r>
      <w:r>
        <w:instrText xml:space="preserve"> PAGEREF _Toc501551414 \h </w:instrText>
      </w:r>
      <w:r>
        <w:fldChar w:fldCharType="separate"/>
      </w:r>
      <w:r>
        <w:t>19</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"_Toc501551415" </w:instrText>
      </w:r>
      <w:r>
        <w:fldChar w:fldCharType="separate"/>
      </w:r>
      <w:r>
        <w:rPr>
          <w:rStyle w:val="34"/>
          <w:snapToGrid w:val="0"/>
          <w:w w:val="0"/>
          <w:kern w:val="0"/>
        </w:rPr>
        <w:t>3.1.</w:t>
      </w:r>
      <w:r>
        <w:rPr>
          <w:rFonts w:asciiTheme="minorHAnsi" w:hAnsiTheme="minorHAnsi" w:eastAsiaTheme="minorEastAsia" w:cstheme="minorBidi"/>
          <w:szCs w:val="22"/>
        </w:rPr>
        <w:tab/>
      </w:r>
      <w:r>
        <w:rPr>
          <w:rStyle w:val="34"/>
          <w:rFonts w:hint="eastAsia"/>
        </w:rPr>
        <w:t>委托采购相关资料审核</w:t>
      </w:r>
      <w:r>
        <w:tab/>
      </w:r>
      <w:r>
        <w:fldChar w:fldCharType="begin"/>
      </w:r>
      <w:r>
        <w:instrText xml:space="preserve"> PAGEREF _Toc501551415 \h </w:instrText>
      </w:r>
      <w:r>
        <w:fldChar w:fldCharType="separate"/>
      </w:r>
      <w:r>
        <w:t>19</w:t>
      </w:r>
      <w:r>
        <w:fldChar w:fldCharType="end"/>
      </w:r>
      <w:r>
        <w:fldChar w:fldCharType="end"/>
      </w:r>
    </w:p>
    <w:p>
      <w:pPr>
        <w:pStyle w:val="22"/>
        <w:tabs>
          <w:tab w:val="left" w:pos="420"/>
          <w:tab w:val="right" w:leader="dot" w:pos="9016"/>
        </w:tabs>
        <w:spacing w:before="312"/>
        <w:rPr>
          <w:rFonts w:asciiTheme="minorHAnsi" w:hAnsiTheme="minorHAnsi" w:eastAsiaTheme="minorEastAsia" w:cstheme="minorBidi"/>
          <w:b w:val="0"/>
          <w:szCs w:val="22"/>
        </w:rPr>
      </w:pPr>
      <w:r>
        <w:fldChar w:fldCharType="begin"/>
      </w:r>
      <w:r>
        <w:instrText xml:space="preserve"> HYPERLINK \l "_Toc501551416" </w:instrText>
      </w:r>
      <w:r>
        <w:fldChar w:fldCharType="separate"/>
      </w:r>
      <w:r>
        <w:rPr>
          <w:rStyle w:val="34"/>
          <w:snapToGrid w:val="0"/>
          <w:w w:val="0"/>
          <w:kern w:val="0"/>
        </w:rPr>
        <w:t>4.</w:t>
      </w:r>
      <w:r>
        <w:rPr>
          <w:rFonts w:asciiTheme="minorHAnsi" w:hAnsiTheme="minorHAnsi" w:eastAsiaTheme="minorEastAsia" w:cstheme="minorBidi"/>
          <w:b w:val="0"/>
          <w:szCs w:val="22"/>
        </w:rPr>
        <w:tab/>
      </w:r>
      <w:r>
        <w:rPr>
          <w:rStyle w:val="34"/>
          <w:rFonts w:hint="eastAsia"/>
          <w:kern w:val="0"/>
        </w:rPr>
        <w:t>自行采购</w:t>
      </w:r>
      <w:r>
        <w:tab/>
      </w:r>
      <w:r>
        <w:fldChar w:fldCharType="begin"/>
      </w:r>
      <w:r>
        <w:instrText xml:space="preserve"> PAGEREF _Toc501551416 \h </w:instrText>
      </w:r>
      <w:r>
        <w:fldChar w:fldCharType="separate"/>
      </w:r>
      <w:r>
        <w:t>20</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"_Toc501551417" </w:instrText>
      </w:r>
      <w:r>
        <w:fldChar w:fldCharType="separate"/>
      </w:r>
      <w:r>
        <w:rPr>
          <w:rStyle w:val="34"/>
          <w:snapToGrid w:val="0"/>
          <w:w w:val="0"/>
          <w:kern w:val="0"/>
        </w:rPr>
        <w:t>4.1.</w:t>
      </w:r>
      <w:r>
        <w:rPr>
          <w:rFonts w:asciiTheme="minorHAnsi" w:hAnsiTheme="minorHAnsi" w:eastAsiaTheme="minorEastAsia" w:cstheme="minorBidi"/>
          <w:szCs w:val="22"/>
        </w:rPr>
        <w:tab/>
      </w:r>
      <w:r>
        <w:rPr>
          <w:rStyle w:val="34"/>
          <w:rFonts w:hint="eastAsia"/>
        </w:rPr>
        <w:t>组建分包</w:t>
      </w:r>
      <w:r>
        <w:tab/>
      </w:r>
      <w:r>
        <w:fldChar w:fldCharType="begin"/>
      </w:r>
      <w:r>
        <w:instrText xml:space="preserve"> PAGEREF _Toc501551417 \h </w:instrText>
      </w:r>
      <w:r>
        <w:fldChar w:fldCharType="separate"/>
      </w:r>
      <w:r>
        <w:t>20</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"_Toc501551418" </w:instrText>
      </w:r>
      <w:r>
        <w:fldChar w:fldCharType="separate"/>
      </w:r>
      <w:r>
        <w:rPr>
          <w:rStyle w:val="34"/>
          <w:snapToGrid w:val="0"/>
          <w:w w:val="0"/>
          <w:kern w:val="0"/>
        </w:rPr>
        <w:t>4.2.</w:t>
      </w:r>
      <w:r>
        <w:rPr>
          <w:rFonts w:asciiTheme="minorHAnsi" w:hAnsiTheme="minorHAnsi" w:eastAsiaTheme="minorEastAsia" w:cstheme="minorBidi"/>
          <w:szCs w:val="22"/>
        </w:rPr>
        <w:tab/>
      </w:r>
      <w:r>
        <w:rPr>
          <w:rStyle w:val="34"/>
          <w:rFonts w:hint="eastAsia"/>
        </w:rPr>
        <w:t>预约场地</w:t>
      </w:r>
      <w:r>
        <w:tab/>
      </w:r>
      <w:r>
        <w:fldChar w:fldCharType="begin"/>
      </w:r>
      <w:r>
        <w:instrText xml:space="preserve"> PAGEREF _Toc501551418 \h </w:instrText>
      </w:r>
      <w:r>
        <w:fldChar w:fldCharType="separate"/>
      </w:r>
      <w:r>
        <w:t>22</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"_Toc501551419" </w:instrText>
      </w:r>
      <w:r>
        <w:fldChar w:fldCharType="separate"/>
      </w:r>
      <w:r>
        <w:rPr>
          <w:rStyle w:val="34"/>
          <w:snapToGrid w:val="0"/>
          <w:w w:val="0"/>
          <w:kern w:val="0"/>
        </w:rPr>
        <w:t>4.3.</w:t>
      </w:r>
      <w:r>
        <w:rPr>
          <w:rFonts w:asciiTheme="minorHAnsi" w:hAnsiTheme="minorHAnsi" w:eastAsiaTheme="minorEastAsia" w:cstheme="minorBidi"/>
          <w:szCs w:val="22"/>
        </w:rPr>
        <w:tab/>
      </w:r>
      <w:r>
        <w:rPr>
          <w:rStyle w:val="34"/>
          <w:rFonts w:hint="eastAsia"/>
        </w:rPr>
        <w:t>采购文件</w:t>
      </w:r>
      <w:r>
        <w:tab/>
      </w:r>
      <w:r>
        <w:fldChar w:fldCharType="begin"/>
      </w:r>
      <w:r>
        <w:instrText xml:space="preserve"> PAGEREF _Toc501551419 \h </w:instrText>
      </w:r>
      <w:r>
        <w:fldChar w:fldCharType="separate"/>
      </w:r>
      <w:r>
        <w:t>24</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"_Toc501551420" </w:instrText>
      </w:r>
      <w:r>
        <w:fldChar w:fldCharType="separate"/>
      </w:r>
      <w:r>
        <w:rPr>
          <w:rStyle w:val="34"/>
          <w:snapToGrid w:val="0"/>
          <w:w w:val="0"/>
          <w:kern w:val="0"/>
        </w:rPr>
        <w:t>4.4.</w:t>
      </w:r>
      <w:r>
        <w:rPr>
          <w:rFonts w:asciiTheme="minorHAnsi" w:hAnsiTheme="minorHAnsi" w:eastAsiaTheme="minorEastAsia" w:cstheme="minorBidi"/>
          <w:szCs w:val="22"/>
        </w:rPr>
        <w:tab/>
      </w:r>
      <w:r>
        <w:rPr>
          <w:rStyle w:val="34"/>
          <w:rFonts w:hint="eastAsia"/>
        </w:rPr>
        <w:t>采购公告</w:t>
      </w:r>
      <w:r>
        <w:tab/>
      </w:r>
      <w:r>
        <w:fldChar w:fldCharType="begin"/>
      </w:r>
      <w:r>
        <w:instrText xml:space="preserve"> PAGEREF _Toc501551420 \h </w:instrText>
      </w:r>
      <w:r>
        <w:fldChar w:fldCharType="separate"/>
      </w:r>
      <w:r>
        <w:t>25</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"_Toc501551421" </w:instrText>
      </w:r>
      <w:r>
        <w:fldChar w:fldCharType="separate"/>
      </w:r>
      <w:r>
        <w:rPr>
          <w:rStyle w:val="34"/>
          <w:snapToGrid w:val="0"/>
          <w:w w:val="0"/>
          <w:kern w:val="0"/>
        </w:rPr>
        <w:t>4.5.</w:t>
      </w:r>
      <w:r>
        <w:rPr>
          <w:rFonts w:asciiTheme="minorHAnsi" w:hAnsiTheme="minorHAnsi" w:eastAsiaTheme="minorEastAsia" w:cstheme="minorBidi"/>
          <w:szCs w:val="22"/>
        </w:rPr>
        <w:tab/>
      </w:r>
      <w:r>
        <w:rPr>
          <w:rStyle w:val="34"/>
          <w:rFonts w:hint="eastAsia"/>
        </w:rPr>
        <w:t>打印专家抽取申请表</w:t>
      </w:r>
      <w:r>
        <w:tab/>
      </w:r>
      <w:r>
        <w:fldChar w:fldCharType="begin"/>
      </w:r>
      <w:r>
        <w:instrText xml:space="preserve"> PAGEREF _Toc501551421 \h </w:instrText>
      </w:r>
      <w:r>
        <w:fldChar w:fldCharType="separate"/>
      </w:r>
      <w:r>
        <w:t>27</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"_Toc501551422" </w:instrText>
      </w:r>
      <w:r>
        <w:fldChar w:fldCharType="separate"/>
      </w:r>
      <w:r>
        <w:rPr>
          <w:rStyle w:val="34"/>
          <w:snapToGrid w:val="0"/>
          <w:w w:val="0"/>
          <w:kern w:val="0"/>
        </w:rPr>
        <w:t>4.6.</w:t>
      </w:r>
      <w:r>
        <w:rPr>
          <w:rFonts w:asciiTheme="minorHAnsi" w:hAnsiTheme="minorHAnsi" w:eastAsiaTheme="minorEastAsia" w:cstheme="minorBidi"/>
          <w:szCs w:val="22"/>
        </w:rPr>
        <w:tab/>
      </w:r>
      <w:r>
        <w:rPr>
          <w:rStyle w:val="34"/>
          <w:rFonts w:hint="eastAsia"/>
        </w:rPr>
        <w:t>保证金（保证金退款）</w:t>
      </w:r>
      <w:r>
        <w:tab/>
      </w:r>
      <w:r>
        <w:fldChar w:fldCharType="begin"/>
      </w:r>
      <w:r>
        <w:instrText xml:space="preserve"> PAGEREF _Toc501551422 \h </w:instrText>
      </w:r>
      <w:r>
        <w:fldChar w:fldCharType="separate"/>
      </w:r>
      <w:r>
        <w:t>29</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"_Toc501551423" </w:instrText>
      </w:r>
      <w:r>
        <w:fldChar w:fldCharType="separate"/>
      </w:r>
      <w:r>
        <w:rPr>
          <w:rStyle w:val="34"/>
          <w:snapToGrid w:val="0"/>
          <w:w w:val="0"/>
          <w:kern w:val="0"/>
        </w:rPr>
        <w:t>4.7.</w:t>
      </w:r>
      <w:r>
        <w:rPr>
          <w:rFonts w:asciiTheme="minorHAnsi" w:hAnsiTheme="minorHAnsi" w:eastAsiaTheme="minorEastAsia" w:cstheme="minorBidi"/>
          <w:szCs w:val="22"/>
        </w:rPr>
        <w:tab/>
      </w:r>
      <w:r>
        <w:rPr>
          <w:rStyle w:val="34"/>
          <w:rFonts w:hint="eastAsia"/>
        </w:rPr>
        <w:t>结果公示</w:t>
      </w:r>
      <w:r>
        <w:tab/>
      </w:r>
      <w:r>
        <w:fldChar w:fldCharType="begin"/>
      </w:r>
      <w:r>
        <w:instrText xml:space="preserve"> PAGEREF _Toc501551423 \h </w:instrText>
      </w:r>
      <w:r>
        <w:fldChar w:fldCharType="separate"/>
      </w:r>
      <w:r>
        <w:t>30</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"_Toc501551424" </w:instrText>
      </w:r>
      <w:r>
        <w:fldChar w:fldCharType="separate"/>
      </w:r>
      <w:r>
        <w:rPr>
          <w:rStyle w:val="34"/>
        </w:rPr>
        <w:t>4.8.</w:t>
      </w:r>
      <w:r>
        <w:rPr>
          <w:rStyle w:val="34"/>
          <w:rFonts w:hint="eastAsia"/>
        </w:rPr>
        <w:t>自行中标通知书</w:t>
      </w:r>
      <w:r>
        <w:tab/>
      </w:r>
      <w:r>
        <w:fldChar w:fldCharType="begin"/>
      </w:r>
      <w:r>
        <w:instrText xml:space="preserve"> PAGEREF _Toc501551424 \h </w:instrText>
      </w:r>
      <w:r>
        <w:fldChar w:fldCharType="separate"/>
      </w:r>
      <w:r>
        <w:t>30</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"_Toc501551425" </w:instrText>
      </w:r>
      <w:r>
        <w:fldChar w:fldCharType="separate"/>
      </w:r>
      <w:r>
        <w:rPr>
          <w:rStyle w:val="34"/>
        </w:rPr>
        <w:t>4.9.</w:t>
      </w:r>
      <w:r>
        <w:rPr>
          <w:rStyle w:val="34"/>
          <w:rFonts w:hint="eastAsia"/>
        </w:rPr>
        <w:t>标后相关数据</w:t>
      </w:r>
      <w:r>
        <w:tab/>
      </w:r>
      <w:r>
        <w:fldChar w:fldCharType="begin"/>
      </w:r>
      <w:r>
        <w:instrText xml:space="preserve"> PAGEREF _Toc501551425 \h </w:instrText>
      </w:r>
      <w:r>
        <w:fldChar w:fldCharType="separate"/>
      </w:r>
      <w:r>
        <w:t>32</w:t>
      </w:r>
      <w:r>
        <w:fldChar w:fldCharType="end"/>
      </w:r>
      <w:r>
        <w:fldChar w:fldCharType="end"/>
      </w:r>
    </w:p>
    <w:p>
      <w:pPr>
        <w:pStyle w:val="22"/>
        <w:tabs>
          <w:tab w:val="left" w:pos="420"/>
          <w:tab w:val="right" w:leader="dot" w:pos="9016"/>
        </w:tabs>
        <w:spacing w:before="312"/>
        <w:rPr>
          <w:rFonts w:asciiTheme="minorHAnsi" w:hAnsiTheme="minorHAnsi" w:eastAsiaTheme="minorEastAsia" w:cstheme="minorBidi"/>
          <w:b w:val="0"/>
          <w:szCs w:val="22"/>
        </w:rPr>
      </w:pPr>
      <w:r>
        <w:fldChar w:fldCharType="begin"/>
      </w:r>
      <w:r>
        <w:instrText xml:space="preserve"> HYPERLINK \l "_Toc501551426" </w:instrText>
      </w:r>
      <w:r>
        <w:fldChar w:fldCharType="separate"/>
      </w:r>
      <w:r>
        <w:rPr>
          <w:rStyle w:val="34"/>
          <w:snapToGrid w:val="0"/>
          <w:w w:val="0"/>
          <w:kern w:val="0"/>
        </w:rPr>
        <w:t>5.</w:t>
      </w:r>
      <w:r>
        <w:rPr>
          <w:rFonts w:asciiTheme="minorHAnsi" w:hAnsiTheme="minorHAnsi" w:eastAsiaTheme="minorEastAsia" w:cstheme="minorBidi"/>
          <w:b w:val="0"/>
          <w:szCs w:val="22"/>
        </w:rPr>
        <w:tab/>
      </w:r>
      <w:r>
        <w:rPr>
          <w:rStyle w:val="34"/>
          <w:rFonts w:hint="eastAsia"/>
          <w:kern w:val="0"/>
        </w:rPr>
        <w:t>协议采购</w:t>
      </w:r>
      <w:r>
        <w:tab/>
      </w:r>
      <w:r>
        <w:fldChar w:fldCharType="begin"/>
      </w:r>
      <w:r>
        <w:instrText xml:space="preserve"> PAGEREF _Toc501551426 \h </w:instrText>
      </w:r>
      <w:r>
        <w:fldChar w:fldCharType="separate"/>
      </w:r>
      <w:r>
        <w:t>33</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"_Toc501551427" </w:instrText>
      </w:r>
      <w:r>
        <w:fldChar w:fldCharType="separate"/>
      </w:r>
      <w:r>
        <w:rPr>
          <w:rStyle w:val="34"/>
          <w:snapToGrid w:val="0"/>
          <w:w w:val="0"/>
          <w:kern w:val="0"/>
        </w:rPr>
        <w:t>5.1.</w:t>
      </w:r>
      <w:r>
        <w:rPr>
          <w:rFonts w:asciiTheme="minorHAnsi" w:hAnsiTheme="minorHAnsi" w:eastAsiaTheme="minorEastAsia" w:cstheme="minorBidi"/>
          <w:szCs w:val="22"/>
        </w:rPr>
        <w:tab/>
      </w:r>
      <w:r>
        <w:rPr>
          <w:rStyle w:val="34"/>
          <w:rFonts w:hint="eastAsia"/>
        </w:rPr>
        <w:t>挑选协议商品</w:t>
      </w:r>
      <w:r>
        <w:tab/>
      </w:r>
      <w:r>
        <w:fldChar w:fldCharType="begin"/>
      </w:r>
      <w:r>
        <w:instrText xml:space="preserve"> PAGEREF _Toc501551427 \h </w:instrText>
      </w:r>
      <w:r>
        <w:fldChar w:fldCharType="separate"/>
      </w:r>
      <w:r>
        <w:t>33</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"_Toc501551428" </w:instrText>
      </w:r>
      <w:r>
        <w:fldChar w:fldCharType="separate"/>
      </w:r>
      <w:r>
        <w:rPr>
          <w:rStyle w:val="34"/>
          <w:snapToGrid w:val="0"/>
          <w:w w:val="0"/>
          <w:kern w:val="0"/>
        </w:rPr>
        <w:t>5.2.</w:t>
      </w:r>
      <w:r>
        <w:rPr>
          <w:rFonts w:asciiTheme="minorHAnsi" w:hAnsiTheme="minorHAnsi" w:eastAsiaTheme="minorEastAsia" w:cstheme="minorBidi"/>
          <w:szCs w:val="22"/>
        </w:rPr>
        <w:tab/>
      </w:r>
      <w:r>
        <w:rPr>
          <w:rStyle w:val="34"/>
          <w:rFonts w:hint="eastAsia"/>
        </w:rPr>
        <w:t>指定协议中标单位</w:t>
      </w:r>
      <w:r>
        <w:tab/>
      </w:r>
      <w:r>
        <w:fldChar w:fldCharType="begin"/>
      </w:r>
      <w:r>
        <w:instrText xml:space="preserve"> PAGEREF _Toc501551428 \h </w:instrText>
      </w:r>
      <w:r>
        <w:fldChar w:fldCharType="separate"/>
      </w:r>
      <w:r>
        <w:t>36</w:t>
      </w:r>
      <w:r>
        <w:fldChar w:fldCharType="end"/>
      </w:r>
      <w:r>
        <w:fldChar w:fldCharType="end"/>
      </w:r>
    </w:p>
    <w:p>
      <w:pPr>
        <w:pStyle w:val="22"/>
        <w:tabs>
          <w:tab w:val="left" w:pos="420"/>
          <w:tab w:val="right" w:leader="dot" w:pos="9016"/>
        </w:tabs>
        <w:spacing w:before="312"/>
        <w:rPr>
          <w:rFonts w:asciiTheme="minorHAnsi" w:hAnsiTheme="minorHAnsi" w:eastAsiaTheme="minorEastAsia" w:cstheme="minorBidi"/>
          <w:b w:val="0"/>
          <w:szCs w:val="22"/>
        </w:rPr>
      </w:pPr>
      <w:r>
        <w:fldChar w:fldCharType="begin"/>
      </w:r>
      <w:r>
        <w:instrText xml:space="preserve"> HYPERLINK \l "_Toc501551429" </w:instrText>
      </w:r>
      <w:r>
        <w:fldChar w:fldCharType="separate"/>
      </w:r>
      <w:r>
        <w:rPr>
          <w:rStyle w:val="34"/>
          <w:snapToGrid w:val="0"/>
          <w:w w:val="0"/>
          <w:kern w:val="0"/>
        </w:rPr>
        <w:t>6.</w:t>
      </w:r>
      <w:r>
        <w:rPr>
          <w:rFonts w:asciiTheme="minorHAnsi" w:hAnsiTheme="minorHAnsi" w:eastAsiaTheme="minorEastAsia" w:cstheme="minorBidi"/>
          <w:b w:val="0"/>
          <w:szCs w:val="22"/>
        </w:rPr>
        <w:tab/>
      </w:r>
      <w:r>
        <w:rPr>
          <w:rStyle w:val="34"/>
          <w:rFonts w:hint="eastAsia"/>
        </w:rPr>
        <w:t>合同备案及验收单备案</w:t>
      </w:r>
      <w:r>
        <w:tab/>
      </w:r>
      <w:r>
        <w:fldChar w:fldCharType="begin"/>
      </w:r>
      <w:r>
        <w:instrText xml:space="preserve"> PAGEREF _Toc501551429 \h </w:instrText>
      </w:r>
      <w:r>
        <w:fldChar w:fldCharType="separate"/>
      </w:r>
      <w:r>
        <w:t>37</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"_Toc501551430" </w:instrText>
      </w:r>
      <w:r>
        <w:fldChar w:fldCharType="separate"/>
      </w:r>
      <w:r>
        <w:rPr>
          <w:rStyle w:val="34"/>
          <w:snapToGrid w:val="0"/>
          <w:w w:val="0"/>
          <w:kern w:val="0"/>
        </w:rPr>
        <w:t>6.1.</w:t>
      </w:r>
      <w:r>
        <w:rPr>
          <w:rFonts w:asciiTheme="minorHAnsi" w:hAnsiTheme="minorHAnsi" w:eastAsiaTheme="minorEastAsia" w:cstheme="minorBidi"/>
          <w:szCs w:val="22"/>
        </w:rPr>
        <w:tab/>
      </w:r>
      <w:r>
        <w:rPr>
          <w:rStyle w:val="34"/>
          <w:rFonts w:hint="eastAsia"/>
        </w:rPr>
        <w:t>采购合同备案</w:t>
      </w:r>
      <w:r>
        <w:tab/>
      </w:r>
      <w:r>
        <w:fldChar w:fldCharType="begin"/>
      </w:r>
      <w:r>
        <w:instrText xml:space="preserve"> PAGEREF _Toc501551430 \h </w:instrText>
      </w:r>
      <w:r>
        <w:fldChar w:fldCharType="separate"/>
      </w:r>
      <w:r>
        <w:t>37</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"_Toc501551431" </w:instrText>
      </w:r>
      <w:r>
        <w:fldChar w:fldCharType="separate"/>
      </w:r>
      <w:r>
        <w:rPr>
          <w:rStyle w:val="34"/>
          <w:snapToGrid w:val="0"/>
          <w:w w:val="0"/>
          <w:kern w:val="0"/>
        </w:rPr>
        <w:t>6.2.</w:t>
      </w:r>
      <w:r>
        <w:rPr>
          <w:rFonts w:asciiTheme="minorHAnsi" w:hAnsiTheme="minorHAnsi" w:eastAsiaTheme="minorEastAsia" w:cstheme="minorBidi"/>
          <w:szCs w:val="22"/>
        </w:rPr>
        <w:tab/>
      </w:r>
      <w:r>
        <w:rPr>
          <w:rStyle w:val="34"/>
          <w:rFonts w:hint="eastAsia"/>
        </w:rPr>
        <w:t>签订协议采购合同</w:t>
      </w:r>
      <w:r>
        <w:tab/>
      </w:r>
      <w:r>
        <w:fldChar w:fldCharType="begin"/>
      </w:r>
      <w:r>
        <w:instrText xml:space="preserve"> PAGEREF _Toc501551431 \h </w:instrText>
      </w:r>
      <w:r>
        <w:fldChar w:fldCharType="separate"/>
      </w:r>
      <w:r>
        <w:t>38</w:t>
      </w:r>
      <w:r>
        <w:fldChar w:fldCharType="end"/>
      </w:r>
      <w:r>
        <w:fldChar w:fldCharType="end"/>
      </w:r>
    </w:p>
    <w:p>
      <w:pPr>
        <w:pStyle w:val="25"/>
        <w:rPr>
          <w:rFonts w:asciiTheme="minorHAnsi" w:hAnsiTheme="minorHAnsi" w:eastAsiaTheme="minorEastAsia" w:cstheme="minorBidi"/>
          <w:szCs w:val="22"/>
        </w:rPr>
      </w:pPr>
      <w:r>
        <w:fldChar w:fldCharType="begin"/>
      </w:r>
      <w:r>
        <w:instrText xml:space="preserve"> HYPERLINK \l "_Toc501551432" </w:instrText>
      </w:r>
      <w:r>
        <w:fldChar w:fldCharType="separate"/>
      </w:r>
      <w:r>
        <w:rPr>
          <w:rStyle w:val="34"/>
          <w:snapToGrid w:val="0"/>
          <w:w w:val="0"/>
          <w:kern w:val="0"/>
        </w:rPr>
        <w:t>6.3.</w:t>
      </w:r>
      <w:r>
        <w:rPr>
          <w:rFonts w:asciiTheme="minorHAnsi" w:hAnsiTheme="minorHAnsi" w:eastAsiaTheme="minorEastAsia" w:cstheme="minorBidi"/>
          <w:szCs w:val="22"/>
        </w:rPr>
        <w:tab/>
      </w:r>
      <w:r>
        <w:rPr>
          <w:rStyle w:val="34"/>
          <w:rFonts w:hint="eastAsia"/>
        </w:rPr>
        <w:t>验收单</w:t>
      </w:r>
      <w:r>
        <w:tab/>
      </w:r>
      <w:r>
        <w:fldChar w:fldCharType="begin"/>
      </w:r>
      <w:r>
        <w:instrText xml:space="preserve"> PAGEREF _Toc501551432 \h </w:instrText>
      </w:r>
      <w:r>
        <w:fldChar w:fldCharType="separate"/>
      </w:r>
      <w:r>
        <w:t>39</w:t>
      </w:r>
      <w:r>
        <w:fldChar w:fldCharType="end"/>
      </w:r>
      <w:r>
        <w:fldChar w:fldCharType="end"/>
      </w:r>
    </w:p>
    <w:p>
      <w:r>
        <w:fldChar w:fldCharType="end"/>
      </w:r>
    </w:p>
    <w:p/>
    <w:p/>
    <w:p/>
    <w:p/>
    <w:p/>
    <w:p/>
    <w:p/>
    <w:p/>
    <w:p/>
    <w:p/>
    <w:p/>
    <w:p/>
    <w:p/>
    <w:p/>
    <w:p/>
    <w:p/>
    <w:p/>
    <w:p/>
    <w:p/>
    <w:p/>
    <w:p/>
    <w:p/>
    <w:p/>
    <w:p/>
    <w:p>
      <w:pPr>
        <w:pStyle w:val="2"/>
      </w:pPr>
      <w:r>
        <w:rPr>
          <w:rFonts w:hint="eastAsia"/>
          <w:lang w:eastAsia="zh-CN"/>
        </w:rPr>
        <w:t>中心端商品库的搭建</w:t>
      </w:r>
    </w:p>
    <w:p>
      <w:pPr>
        <w:rPr>
          <w:rFonts w:hint="eastAsia"/>
          <w:b/>
          <w:lang w:eastAsia="zh-CN"/>
        </w:rPr>
      </w:pPr>
      <w:r>
        <w:rPr>
          <w:rFonts w:hint="eastAsia"/>
          <w:b/>
          <w:lang w:eastAsia="zh-CN"/>
        </w:rPr>
        <w:t>新协议采购与老协议采购不同，区别主要包括以下一点：</w:t>
      </w:r>
    </w:p>
    <w:p>
      <w:pPr>
        <w:numPr>
          <w:ilvl w:val="0"/>
          <w:numId w:val="2"/>
        </w:numPr>
        <w:rPr>
          <w:rFonts w:hint="eastAsia"/>
          <w:b/>
          <w:lang w:eastAsia="zh-CN"/>
        </w:rPr>
      </w:pPr>
      <w:r>
        <w:rPr>
          <w:rFonts w:hint="eastAsia"/>
          <w:b/>
          <w:lang w:eastAsia="zh-CN"/>
        </w:rPr>
        <w:t>新协议采购商品库统一由省里维护，且全省共同使用；老协议采购由各地方采购办单独建库，单独使用（区县未搭建共用市里的库）；</w:t>
      </w:r>
    </w:p>
    <w:p>
      <w:pPr>
        <w:numPr>
          <w:ilvl w:val="0"/>
          <w:numId w:val="2"/>
        </w:numPr>
        <w:rPr>
          <w:rFonts w:hint="eastAsia"/>
          <w:b/>
          <w:lang w:eastAsia="zh-CN"/>
        </w:rPr>
      </w:pPr>
      <w:r>
        <w:rPr>
          <w:rFonts w:hint="eastAsia"/>
          <w:b/>
          <w:lang w:eastAsia="zh-CN"/>
        </w:rPr>
        <w:t>新协议采购品目只有“货物”，无服务和工程类；老协议采购包括工程、货物和服务三种类型；</w:t>
      </w:r>
    </w:p>
    <w:p>
      <w:pPr>
        <w:numPr>
          <w:ilvl w:val="0"/>
          <w:numId w:val="2"/>
        </w:numPr>
        <w:rPr>
          <w:rFonts w:hint="eastAsia"/>
          <w:b/>
          <w:lang w:eastAsia="zh-CN"/>
        </w:rPr>
      </w:pPr>
      <w:r>
        <w:rPr>
          <w:rFonts w:hint="eastAsia"/>
          <w:b/>
          <w:lang w:eastAsia="zh-CN"/>
        </w:rPr>
        <w:t>新协议采购相比老协议采购无优惠率；</w:t>
      </w:r>
    </w:p>
    <w:p>
      <w:pPr>
        <w:numPr>
          <w:ilvl w:val="0"/>
          <w:numId w:val="2"/>
        </w:numPr>
        <w:rPr>
          <w:rFonts w:hint="eastAsia"/>
          <w:b/>
          <w:lang w:eastAsia="zh-CN"/>
        </w:rPr>
      </w:pPr>
      <w:r>
        <w:rPr>
          <w:rFonts w:hint="eastAsia"/>
          <w:b/>
          <w:lang w:eastAsia="zh-CN"/>
        </w:rPr>
        <w:t>新协议采购厂家（相当于老的协议采购的总供应商），由省里统一维护，不再维护经销商；</w:t>
      </w:r>
    </w:p>
    <w:p>
      <w:pPr>
        <w:numPr>
          <w:ilvl w:val="0"/>
          <w:numId w:val="2"/>
        </w:numPr>
        <w:rPr>
          <w:rFonts w:hint="eastAsia"/>
          <w:b/>
          <w:lang w:eastAsia="zh-CN"/>
        </w:rPr>
      </w:pPr>
      <w:r>
        <w:rPr>
          <w:rFonts w:hint="eastAsia"/>
          <w:b/>
          <w:lang w:eastAsia="zh-CN"/>
        </w:rPr>
        <w:t>新协议采购的经销商统一由品牌厂家（相当于品牌总供应商）进行维护；</w:t>
      </w:r>
    </w:p>
    <w:p>
      <w:pPr>
        <w:numPr>
          <w:ilvl w:val="0"/>
          <w:numId w:val="2"/>
        </w:numPr>
        <w:rPr>
          <w:rFonts w:hint="eastAsia"/>
          <w:b/>
          <w:lang w:eastAsia="zh-CN"/>
        </w:rPr>
      </w:pPr>
      <w:r>
        <w:rPr>
          <w:rFonts w:hint="eastAsia"/>
          <w:b/>
          <w:lang w:eastAsia="zh-CN"/>
        </w:rPr>
        <w:t>商品信息审核统一由省里审核。</w:t>
      </w:r>
    </w:p>
    <w:p>
      <w:pPr>
        <w:numPr>
          <w:ilvl w:val="0"/>
          <w:numId w:val="0"/>
        </w:numPr>
        <w:rPr>
          <w:rFonts w:hint="eastAsia"/>
          <w:b/>
          <w:lang w:eastAsia="zh-CN"/>
        </w:rPr>
      </w:pPr>
    </w:p>
    <w:p>
      <w:pPr>
        <w:numPr>
          <w:ilvl w:val="0"/>
          <w:numId w:val="0"/>
        </w:numPr>
        <w:rPr>
          <w:rFonts w:hint="eastAsia"/>
          <w:b/>
          <w:lang w:eastAsia="zh-CN"/>
        </w:rPr>
      </w:pPr>
    </w:p>
    <w:p>
      <w:pPr>
        <w:numPr>
          <w:ilvl w:val="0"/>
          <w:numId w:val="0"/>
        </w:numPr>
        <w:rPr>
          <w:rFonts w:hint="eastAsia"/>
          <w:b/>
          <w:lang w:eastAsia="zh-CN"/>
        </w:rPr>
      </w:pPr>
      <w:r>
        <w:rPr>
          <w:rFonts w:hint="eastAsia"/>
          <w:b/>
          <w:lang w:eastAsia="zh-CN"/>
        </w:rPr>
        <w:t>业务流程：</w:t>
      </w:r>
    </w:p>
    <w:p>
      <w:pPr>
        <w:numPr>
          <w:ilvl w:val="0"/>
          <w:numId w:val="0"/>
        </w:numPr>
      </w:pPr>
      <w:r>
        <w:drawing>
          <wp:inline distT="0" distB="0" distL="114300" distR="114300">
            <wp:extent cx="5727700" cy="1353820"/>
            <wp:effectExtent l="0" t="0" r="6350" b="17780"/>
            <wp:docPr id="2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pic:cNvPicPr>
                      <a:picLocks noChangeAspect="1"/>
                    </pic:cNvPicPr>
                  </pic:nvPicPr>
                  <pic:blipFill>
                    <a:blip r:embed="rId9"/>
                    <a:stretch>
                      <a:fillRect/>
                    </a:stretch>
                  </pic:blipFill>
                  <pic:spPr>
                    <a:xfrm>
                      <a:off x="0" y="0"/>
                      <a:ext cx="5727700" cy="1353820"/>
                    </a:xfrm>
                    <a:prstGeom prst="rect">
                      <a:avLst/>
                    </a:prstGeom>
                    <a:noFill/>
                    <a:ln>
                      <a:noFill/>
                    </a:ln>
                  </pic:spPr>
                </pic:pic>
              </a:graphicData>
            </a:graphic>
          </wp:inline>
        </w:drawing>
      </w:r>
    </w:p>
    <w:p>
      <w:pPr>
        <w:numPr>
          <w:ilvl w:val="0"/>
          <w:numId w:val="0"/>
        </w:numPr>
      </w:pPr>
    </w:p>
    <w:p>
      <w:pPr>
        <w:numPr>
          <w:ilvl w:val="0"/>
          <w:numId w:val="0"/>
        </w:numPr>
        <w:rPr>
          <w:rFonts w:hint="eastAsia"/>
          <w:lang w:eastAsia="zh-CN"/>
        </w:rPr>
      </w:pPr>
      <w:r>
        <w:rPr>
          <w:rFonts w:hint="eastAsia"/>
          <w:lang w:eastAsia="zh-CN"/>
        </w:rPr>
        <w:t>说明：①由省里进行商品目录、类型、品牌新增维护，维护品牌之后可进行维护厂家库，在“厂家维护”中将需要配置的品牌厂家统一录入，目的是方便品牌厂商挑选时可直接选择厂家维护的厂家。</w:t>
      </w:r>
    </w:p>
    <w:p>
      <w:pPr>
        <w:numPr>
          <w:ilvl w:val="0"/>
          <w:numId w:val="0"/>
        </w:numPr>
        <w:rPr>
          <w:rFonts w:hint="eastAsia"/>
          <w:lang w:val="en-US" w:eastAsia="zh-CN"/>
        </w:rPr>
      </w:pPr>
      <w:r>
        <w:rPr>
          <w:rFonts w:hint="eastAsia"/>
          <w:lang w:val="en-US" w:eastAsia="zh-CN"/>
        </w:rPr>
        <w:t>②品牌维护中增加“是否直销品牌”字段，直销品牌无须竞价，采购单位选择协议商品时即可选择供应商（无须满足同一辖区三家以上的供应商条件）；非直销的品牌竞价时需满足同一辖区三家及以上的供应商方能挑选和竞价。</w:t>
      </w:r>
    </w:p>
    <w:p>
      <w:pPr>
        <w:numPr>
          <w:ilvl w:val="0"/>
          <w:numId w:val="0"/>
        </w:numPr>
        <w:rPr>
          <w:rFonts w:hint="default"/>
          <w:lang w:val="en-US" w:eastAsia="zh-CN"/>
        </w:rPr>
      </w:pPr>
      <w:r>
        <w:drawing>
          <wp:inline distT="0" distB="0" distL="114300" distR="114300">
            <wp:extent cx="6492240" cy="2533650"/>
            <wp:effectExtent l="0" t="0" r="3810" b="0"/>
            <wp:docPr id="2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4"/>
                    <pic:cNvPicPr>
                      <a:picLocks noChangeAspect="1"/>
                    </pic:cNvPicPr>
                  </pic:nvPicPr>
                  <pic:blipFill>
                    <a:blip r:embed="rId10"/>
                    <a:stretch>
                      <a:fillRect/>
                    </a:stretch>
                  </pic:blipFill>
                  <pic:spPr>
                    <a:xfrm>
                      <a:off x="0" y="0"/>
                      <a:ext cx="6492240" cy="2533650"/>
                    </a:xfrm>
                    <a:prstGeom prst="rect">
                      <a:avLst/>
                    </a:prstGeom>
                    <a:noFill/>
                    <a:ln>
                      <a:noFill/>
                    </a:ln>
                  </pic:spPr>
                </pic:pic>
              </a:graphicData>
            </a:graphic>
          </wp:inline>
        </w:drawing>
      </w:r>
    </w:p>
    <w:p>
      <w:pPr>
        <w:numPr>
          <w:ilvl w:val="0"/>
          <w:numId w:val="0"/>
        </w:numPr>
        <w:rPr>
          <w:rFonts w:hint="eastAsia"/>
          <w:lang w:eastAsia="zh-CN"/>
        </w:rPr>
      </w:pPr>
      <w:r>
        <w:drawing>
          <wp:inline distT="0" distB="0" distL="114300" distR="114300">
            <wp:extent cx="6400165" cy="1884680"/>
            <wp:effectExtent l="0" t="0" r="635" b="1270"/>
            <wp:docPr id="2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3"/>
                    <pic:cNvPicPr>
                      <a:picLocks noChangeAspect="1"/>
                    </pic:cNvPicPr>
                  </pic:nvPicPr>
                  <pic:blipFill>
                    <a:blip r:embed="rId11"/>
                    <a:stretch>
                      <a:fillRect/>
                    </a:stretch>
                  </pic:blipFill>
                  <pic:spPr>
                    <a:xfrm>
                      <a:off x="0" y="0"/>
                      <a:ext cx="6400165" cy="1884680"/>
                    </a:xfrm>
                    <a:prstGeom prst="rect">
                      <a:avLst/>
                    </a:prstGeom>
                    <a:noFill/>
                    <a:ln>
                      <a:noFill/>
                    </a:ln>
                  </pic:spPr>
                </pic:pic>
              </a:graphicData>
            </a:graphic>
          </wp:inline>
        </w:drawing>
      </w:r>
    </w:p>
    <w:p>
      <w:pPr>
        <w:pStyle w:val="2"/>
      </w:pPr>
      <w:bookmarkStart w:id="0" w:name="_Toc501551408"/>
      <w:bookmarkStart w:id="1" w:name="_Toc332110307"/>
      <w:r>
        <w:rPr>
          <w:rFonts w:hint="eastAsia"/>
          <w:lang w:eastAsia="zh-CN"/>
        </w:rPr>
        <w:t>厂家维护</w:t>
      </w:r>
    </w:p>
    <w:p>
      <w:pPr>
        <w:pStyle w:val="3"/>
      </w:pPr>
      <w:r>
        <w:rPr>
          <w:rFonts w:hint="eastAsia"/>
          <w:lang w:eastAsia="zh-CN"/>
        </w:rPr>
        <w:t>供货商（供应商）管理</w:t>
      </w:r>
    </w:p>
    <w:p>
      <w:pPr>
        <w:ind w:firstLine="420" w:firstLineChars="0"/>
        <w:rPr>
          <w:rFonts w:hint="eastAsia" w:ascii="宋体" w:hAnsi="宋体" w:cs="宋体"/>
          <w:sz w:val="28"/>
          <w:szCs w:val="28"/>
          <w:lang w:eastAsia="zh-CN"/>
        </w:rPr>
      </w:pPr>
      <w:r>
        <w:rPr>
          <w:rFonts w:hint="eastAsia" w:ascii="宋体" w:hAnsi="宋体" w:cs="宋体"/>
          <w:sz w:val="28"/>
          <w:szCs w:val="28"/>
          <w:lang w:eastAsia="zh-CN"/>
        </w:rPr>
        <w:t>会员端的商品库信息由“厂家”进行维护，厂家使用供应商身份进入系统。</w:t>
      </w:r>
    </w:p>
    <w:p>
      <w:pPr>
        <w:ind w:firstLine="420" w:firstLineChars="0"/>
        <w:rPr>
          <w:rFonts w:hint="eastAsia" w:ascii="宋体" w:hAnsi="宋体" w:cs="宋体"/>
          <w:sz w:val="28"/>
          <w:szCs w:val="28"/>
        </w:rPr>
      </w:pPr>
      <w:r>
        <w:rPr>
          <w:rFonts w:hint="eastAsia" w:ascii="宋体" w:hAnsi="宋体" w:cs="宋体"/>
          <w:sz w:val="28"/>
          <w:szCs w:val="28"/>
          <w:lang w:eastAsia="zh-CN"/>
        </w:rPr>
        <w:t>厂家身份问题：针对未在江西省公共资源交易系统中注册使用的厂家需先办理</w:t>
      </w:r>
      <w:r>
        <w:rPr>
          <w:rFonts w:hint="eastAsia" w:ascii="宋体" w:hAnsi="宋体" w:cs="宋体"/>
          <w:sz w:val="28"/>
          <w:szCs w:val="28"/>
          <w:lang w:val="en-US" w:eastAsia="zh-CN"/>
        </w:rPr>
        <w:t>ca锁，注册供应商身份账号，进行绑锁入库；针对已在江西省公共资源交易系统上注册使用的单位，使用过供应商身份的可直接使用，无供应商身份的可自行添加供应商身份即可</w:t>
      </w:r>
      <w:r>
        <w:rPr>
          <w:rFonts w:hint="eastAsia" w:ascii="宋体" w:hAnsi="宋体" w:cs="宋体"/>
          <w:sz w:val="28"/>
          <w:szCs w:val="28"/>
        </w:rPr>
        <w:t>。</w:t>
      </w:r>
    </w:p>
    <w:p>
      <w:pPr>
        <w:ind w:firstLine="420" w:firstLineChars="0"/>
        <w:rPr>
          <w:rFonts w:hint="eastAsia" w:ascii="宋体" w:hAnsi="宋体" w:cs="宋体"/>
          <w:sz w:val="28"/>
          <w:szCs w:val="28"/>
          <w:lang w:eastAsia="zh-CN"/>
        </w:rPr>
      </w:pPr>
      <w:r>
        <w:rPr>
          <w:rFonts w:hint="eastAsia" w:ascii="宋体" w:hAnsi="宋体" w:cs="宋体"/>
          <w:sz w:val="28"/>
          <w:szCs w:val="28"/>
          <w:lang w:eastAsia="zh-CN"/>
        </w:rPr>
        <w:t>维护过程问题：入库完成之后，省采购办对厂家进行（挑选）维护，挑选确认之后，单位即可拥有供应商独特的权限（只有省采购办选择的厂家，才能针对品牌进行供货商的维护、供货商的供货区维护和新增品牌商品信息权限），其他未被维护的厂家登录供应商身份无法看到新协议采购模块。</w:t>
      </w:r>
    </w:p>
    <w:p>
      <w:pPr>
        <w:ind w:firstLine="420" w:firstLineChars="0"/>
        <w:rPr>
          <w:rFonts w:hint="eastAsia" w:ascii="宋体" w:hAnsi="宋体" w:cs="宋体"/>
          <w:sz w:val="28"/>
          <w:szCs w:val="28"/>
          <w:lang w:eastAsia="zh-CN"/>
        </w:rPr>
      </w:pPr>
      <w:r>
        <w:rPr>
          <w:rFonts w:hint="eastAsia" w:ascii="宋体" w:hAnsi="宋体" w:cs="宋体"/>
          <w:sz w:val="28"/>
          <w:szCs w:val="28"/>
          <w:lang w:eastAsia="zh-CN"/>
        </w:rPr>
        <w:t>①品牌供货商、供货区域：厂家打开货物类的品牌，因品牌下即可新增商品，又需要确认品牌的供货商和供货区域；因此，点击“品牌”，右边页面将出现“供货商管理”、“新增商品”及“配件管理”三个菜单模块，点击“供货商管理”，跳转到下一个页面进行供货商的选择确认，同时对改供货商进行辖区选择（一个供货商只能选择配送一个行政辖区），</w:t>
      </w:r>
    </w:p>
    <w:p>
      <w:pPr>
        <w:ind w:firstLine="420" w:firstLineChars="0"/>
        <w:rPr>
          <w:rFonts w:hint="eastAsia" w:ascii="宋体" w:hAnsi="宋体" w:cs="宋体"/>
          <w:sz w:val="28"/>
          <w:szCs w:val="28"/>
          <w:lang w:eastAsia="zh-CN"/>
        </w:rPr>
      </w:pPr>
    </w:p>
    <w:p>
      <w:pPr>
        <w:ind w:firstLine="420" w:firstLineChars="0"/>
        <w:rPr>
          <w:rFonts w:hint="eastAsia" w:ascii="宋体" w:hAnsi="宋体" w:cs="宋体"/>
          <w:color w:val="FF0000"/>
          <w:sz w:val="28"/>
          <w:szCs w:val="28"/>
          <w:lang w:val="en-US" w:eastAsia="zh-CN"/>
        </w:rPr>
      </w:pPr>
      <w:r>
        <w:rPr>
          <w:rFonts w:hint="eastAsia" w:ascii="宋体" w:hAnsi="宋体" w:cs="宋体"/>
          <w:color w:val="FF0000"/>
          <w:sz w:val="28"/>
          <w:szCs w:val="28"/>
          <w:lang w:val="en-US" w:eastAsia="zh-CN"/>
        </w:rPr>
        <w:t>注意：一个供货商只能供货11个行政区（11个行政区，其中赣江新区、省本级、南昌市及南昌市下的其他县区统一归为南昌区，其他各地市为对应的行政区）中的一个。</w:t>
      </w:r>
    </w:p>
    <w:p>
      <w:pPr>
        <w:ind w:firstLine="420" w:firstLineChars="0"/>
        <w:rPr>
          <w:rFonts w:hint="default" w:ascii="宋体" w:hAnsi="宋体" w:cs="宋体"/>
          <w:color w:val="auto"/>
          <w:sz w:val="28"/>
          <w:szCs w:val="28"/>
          <w:lang w:val="en-US" w:eastAsia="zh-CN"/>
        </w:rPr>
      </w:pPr>
      <w:r>
        <w:rPr>
          <w:rFonts w:hint="eastAsia" w:ascii="宋体" w:hAnsi="宋体" w:cs="宋体"/>
          <w:color w:val="auto"/>
          <w:sz w:val="28"/>
          <w:szCs w:val="28"/>
          <w:lang w:val="en-US" w:eastAsia="zh-CN"/>
        </w:rPr>
        <w:t>②新增商品信息以及配件管理可直接使用老协议采购模块页面。供货商管理页面包括“供货商单位名称”、“供货辖区”、“联系电话”；点击“添加”或“删除”，可对供货商信息维护，并显示厂家添加时间。</w:t>
      </w:r>
    </w:p>
    <w:p/>
    <w:p>
      <w:r>
        <w:drawing>
          <wp:inline distT="0" distB="0" distL="114300" distR="114300">
            <wp:extent cx="7066915" cy="1851660"/>
            <wp:effectExtent l="0" t="0" r="635" b="15240"/>
            <wp:docPr id="3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5"/>
                    <pic:cNvPicPr>
                      <a:picLocks noChangeAspect="1"/>
                    </pic:cNvPicPr>
                  </pic:nvPicPr>
                  <pic:blipFill>
                    <a:blip r:embed="rId12"/>
                    <a:stretch>
                      <a:fillRect/>
                    </a:stretch>
                  </pic:blipFill>
                  <pic:spPr>
                    <a:xfrm>
                      <a:off x="0" y="0"/>
                      <a:ext cx="7066915" cy="1851660"/>
                    </a:xfrm>
                    <a:prstGeom prst="rect">
                      <a:avLst/>
                    </a:prstGeom>
                    <a:noFill/>
                    <a:ln>
                      <a:noFill/>
                    </a:ln>
                  </pic:spPr>
                </pic:pic>
              </a:graphicData>
            </a:graphic>
          </wp:inline>
        </w:drawing>
      </w:r>
    </w:p>
    <w:p>
      <w:r>
        <w:drawing>
          <wp:inline distT="0" distB="0" distL="114300" distR="114300">
            <wp:extent cx="6640830" cy="2522855"/>
            <wp:effectExtent l="0" t="0" r="7620" b="10795"/>
            <wp:docPr id="3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6"/>
                    <pic:cNvPicPr>
                      <a:picLocks noChangeAspect="1"/>
                    </pic:cNvPicPr>
                  </pic:nvPicPr>
                  <pic:blipFill>
                    <a:blip r:embed="rId13"/>
                    <a:stretch>
                      <a:fillRect/>
                    </a:stretch>
                  </pic:blipFill>
                  <pic:spPr>
                    <a:xfrm>
                      <a:off x="0" y="0"/>
                      <a:ext cx="6640830" cy="2522855"/>
                    </a:xfrm>
                    <a:prstGeom prst="rect">
                      <a:avLst/>
                    </a:prstGeom>
                    <a:noFill/>
                    <a:ln>
                      <a:noFill/>
                    </a:ln>
                  </pic:spPr>
                </pic:pic>
              </a:graphicData>
            </a:graphic>
          </wp:inline>
        </w:drawing>
      </w:r>
    </w:p>
    <w:p>
      <w:pPr>
        <w:pStyle w:val="3"/>
      </w:pPr>
      <w:r>
        <w:rPr>
          <w:rFonts w:hint="eastAsia"/>
          <w:lang w:eastAsia="zh-CN"/>
        </w:rPr>
        <w:t>配件、商品管理</w:t>
      </w:r>
    </w:p>
    <w:p>
      <w:pPr>
        <w:rPr>
          <w:rFonts w:hint="eastAsia"/>
          <w:lang w:eastAsia="zh-CN"/>
        </w:rPr>
      </w:pPr>
    </w:p>
    <w:p>
      <w:pPr>
        <w:rPr>
          <w:rFonts w:hint="eastAsia"/>
          <w:lang w:eastAsia="zh-CN"/>
        </w:rPr>
      </w:pPr>
      <w:r>
        <w:rPr>
          <w:rFonts w:hint="eastAsia"/>
          <w:lang w:eastAsia="zh-CN"/>
        </w:rPr>
        <w:t>打开货物类的最底级品牌菜单，点击“新增商品”和“配件管理”按钮，即可针对该品牌商品信息进行维护，新增商品和配件管理由厂家维护，维护提交后统一由省里（省采购办）审核。</w:t>
      </w:r>
    </w:p>
    <w:p>
      <w:r>
        <w:drawing>
          <wp:inline distT="0" distB="0" distL="114300" distR="114300">
            <wp:extent cx="6667500" cy="1750060"/>
            <wp:effectExtent l="0" t="0" r="0" b="2540"/>
            <wp:docPr id="3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7"/>
                    <pic:cNvPicPr>
                      <a:picLocks noChangeAspect="1"/>
                    </pic:cNvPicPr>
                  </pic:nvPicPr>
                  <pic:blipFill>
                    <a:blip r:embed="rId14"/>
                    <a:stretch>
                      <a:fillRect/>
                    </a:stretch>
                  </pic:blipFill>
                  <pic:spPr>
                    <a:xfrm>
                      <a:off x="0" y="0"/>
                      <a:ext cx="6667500" cy="1750060"/>
                    </a:xfrm>
                    <a:prstGeom prst="rect">
                      <a:avLst/>
                    </a:prstGeom>
                    <a:noFill/>
                    <a:ln>
                      <a:noFill/>
                    </a:ln>
                  </pic:spPr>
                </pic:pic>
              </a:graphicData>
            </a:graphic>
          </wp:inline>
        </w:drawing>
      </w:r>
    </w:p>
    <w:p/>
    <w:p>
      <w:pPr>
        <w:pStyle w:val="2"/>
      </w:pPr>
      <w:r>
        <w:rPr>
          <w:rFonts w:hint="eastAsia"/>
        </w:rPr>
        <w:t>采购计划</w:t>
      </w:r>
      <w:bookmarkEnd w:id="0"/>
    </w:p>
    <w:p>
      <w:pPr>
        <w:pStyle w:val="3"/>
      </w:pPr>
      <w:bookmarkStart w:id="2" w:name="_Toc501551409"/>
      <w:r>
        <w:rPr>
          <w:rFonts w:hint="eastAsia"/>
        </w:rPr>
        <w:t>申报采购计划</w:t>
      </w:r>
      <w:bookmarkEnd w:id="1"/>
      <w:bookmarkEnd w:id="2"/>
    </w:p>
    <w:p>
      <w:pPr>
        <w:ind w:firstLine="420" w:firstLineChars="200"/>
      </w:pPr>
      <w:r>
        <w:rPr>
          <w:rFonts w:hint="eastAsia"/>
        </w:rPr>
        <w:t>预算单位可新增发起申报采购计划，进入菜单“采购计划—申报采购计划”，如下图：</w:t>
      </w:r>
    </w:p>
    <w:p>
      <w:pPr>
        <w:jc w:val="center"/>
        <w:rPr>
          <w:rFonts w:ascii="宋体" w:hAnsi="宋体" w:cs="宋体"/>
          <w:kern w:val="0"/>
          <w:sz w:val="24"/>
        </w:rPr>
      </w:pPr>
      <w:r>
        <w:drawing>
          <wp:inline distT="0" distB="0" distL="0" distR="0">
            <wp:extent cx="5570220" cy="1597025"/>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5"/>
                    <a:stretch>
                      <a:fillRect/>
                    </a:stretch>
                  </pic:blipFill>
                  <pic:spPr>
                    <a:xfrm>
                      <a:off x="0" y="0"/>
                      <a:ext cx="5592995" cy="1604102"/>
                    </a:xfrm>
                    <a:prstGeom prst="rect">
                      <a:avLst/>
                    </a:prstGeom>
                  </pic:spPr>
                </pic:pic>
              </a:graphicData>
            </a:graphic>
          </wp:inline>
        </w:drawing>
      </w:r>
    </w:p>
    <w:p>
      <w:r>
        <w:rPr>
          <w:rFonts w:hint="eastAsia"/>
        </w:rPr>
        <w:t>点击</w:t>
      </w:r>
      <w:r>
        <w:t xml:space="preserve"> </w:t>
      </w:r>
      <w:r>
        <w:drawing>
          <wp:inline distT="0" distB="0" distL="0" distR="0">
            <wp:extent cx="1037590" cy="33274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6"/>
                    <a:stretch>
                      <a:fillRect/>
                    </a:stretch>
                  </pic:blipFill>
                  <pic:spPr>
                    <a:xfrm>
                      <a:off x="0" y="0"/>
                      <a:ext cx="1038095" cy="333333"/>
                    </a:xfrm>
                    <a:prstGeom prst="rect">
                      <a:avLst/>
                    </a:prstGeom>
                  </pic:spPr>
                </pic:pic>
              </a:graphicData>
            </a:graphic>
          </wp:inline>
        </w:drawing>
      </w:r>
      <w:r>
        <w:rPr>
          <w:rFonts w:hint="eastAsia"/>
        </w:rPr>
        <w:t>按钮后跳出如下页面（</w:t>
      </w:r>
      <w:r>
        <w:rPr>
          <w:rFonts w:hint="eastAsia"/>
          <w:b/>
        </w:rPr>
        <w:t>只有预算单位才能新增采购计划；主管预算单位是无法申报采购计划的，只能审批下级单位申报的采购计划</w:t>
      </w:r>
      <w:r>
        <w:rPr>
          <w:rFonts w:hint="eastAsia"/>
        </w:rPr>
        <w:t>）。</w:t>
      </w:r>
    </w:p>
    <w:p>
      <w:pPr>
        <w:rPr>
          <w:color w:val="FF0000"/>
        </w:rPr>
      </w:pPr>
      <w:r>
        <w:rPr>
          <w:rFonts w:hint="eastAsia"/>
          <w:color w:val="FF0000"/>
        </w:rPr>
        <w:t>如果系统弹出提示“系统检测到您没有设置主管预算单位，请在用户库下完成设置！”等相关提示时，那么说明下级预算单位需要在用户库中完成设置主管单位的操作（相关操作详见1.2.2设置主管预算单位）。</w:t>
      </w:r>
    </w:p>
    <w:p>
      <w:r>
        <w:rPr>
          <w:rFonts w:hint="eastAsia"/>
          <w:color w:val="FF0000"/>
        </w:rPr>
        <w:t>请先完成设置主管预算单位并且主管预算单位确认之后，再进行采购计划申报的操作！</w:t>
      </w:r>
      <w:r>
        <w:rPr>
          <w:rFonts w:hint="eastAsia"/>
        </w:rPr>
        <w:t>申报采购计划时，需要完善以下信息，如下图所示：</w:t>
      </w:r>
    </w:p>
    <w:p>
      <w:pPr>
        <w:rPr>
          <w:rFonts w:ascii="宋体" w:hAnsi="宋体" w:cs="宋体"/>
          <w:color w:val="FF0000"/>
          <w:kern w:val="0"/>
          <w:sz w:val="24"/>
        </w:rPr>
      </w:pPr>
      <w:r>
        <w:drawing>
          <wp:inline distT="0" distB="0" distL="0" distR="0">
            <wp:extent cx="5657215" cy="3113405"/>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7"/>
                    <a:stretch>
                      <a:fillRect/>
                    </a:stretch>
                  </pic:blipFill>
                  <pic:spPr>
                    <a:xfrm>
                      <a:off x="0" y="0"/>
                      <a:ext cx="5679070" cy="3125460"/>
                    </a:xfrm>
                    <a:prstGeom prst="rect">
                      <a:avLst/>
                    </a:prstGeom>
                  </pic:spPr>
                </pic:pic>
              </a:graphicData>
            </a:graphic>
          </wp:inline>
        </w:drawing>
      </w:r>
    </w:p>
    <w:p>
      <w:pPr>
        <w:widowControl/>
        <w:jc w:val="left"/>
      </w:pPr>
      <w:r>
        <w:rPr>
          <w:rFonts w:hint="eastAsia"/>
        </w:rPr>
        <w:t>填写“计划信息”、“条目信息”，然后点</w:t>
      </w:r>
      <w:r>
        <w:drawing>
          <wp:inline distT="0" distB="0" distL="0" distR="0">
            <wp:extent cx="961390" cy="323215"/>
            <wp:effectExtent l="0" t="0" r="0" b="635"/>
            <wp:docPr id="247"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247"/>
                    <pic:cNvPicPr>
                      <a:picLocks noChangeAspect="1"/>
                    </pic:cNvPicPr>
                  </pic:nvPicPr>
                  <pic:blipFill>
                    <a:blip r:embed="rId18"/>
                    <a:stretch>
                      <a:fillRect/>
                    </a:stretch>
                  </pic:blipFill>
                  <pic:spPr>
                    <a:xfrm>
                      <a:off x="0" y="0"/>
                      <a:ext cx="961905" cy="323810"/>
                    </a:xfrm>
                    <a:prstGeom prst="rect">
                      <a:avLst/>
                    </a:prstGeom>
                  </pic:spPr>
                </pic:pic>
              </a:graphicData>
            </a:graphic>
          </wp:inline>
        </w:drawing>
      </w:r>
      <w:r>
        <w:rPr>
          <w:rFonts w:hint="eastAsia"/>
        </w:rPr>
        <w:t xml:space="preserve"> “新增条目”按钮（可新增多条明细），如下图。</w:t>
      </w:r>
    </w:p>
    <w:p>
      <w:pPr>
        <w:widowControl/>
        <w:jc w:val="left"/>
        <w:rPr>
          <w:rFonts w:ascii="宋体" w:hAnsi="宋体" w:cs="宋体"/>
          <w:kern w:val="0"/>
          <w:sz w:val="24"/>
        </w:rPr>
      </w:pPr>
    </w:p>
    <w:p>
      <w:pPr>
        <w:widowControl/>
        <w:jc w:val="center"/>
        <w:rPr>
          <w:rFonts w:ascii="宋体" w:hAnsi="宋体" w:cs="宋体"/>
          <w:kern w:val="0"/>
          <w:sz w:val="24"/>
        </w:rPr>
      </w:pPr>
      <w:r>
        <w:drawing>
          <wp:inline distT="0" distB="0" distL="0" distR="0">
            <wp:extent cx="5527040" cy="206375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9"/>
                    <a:stretch>
                      <a:fillRect/>
                    </a:stretch>
                  </pic:blipFill>
                  <pic:spPr>
                    <a:xfrm>
                      <a:off x="0" y="0"/>
                      <a:ext cx="5548088" cy="2072185"/>
                    </a:xfrm>
                    <a:prstGeom prst="rect">
                      <a:avLst/>
                    </a:prstGeom>
                  </pic:spPr>
                </pic:pic>
              </a:graphicData>
            </a:graphic>
          </wp:inline>
        </w:drawing>
      </w:r>
    </w:p>
    <w:p>
      <w:pPr>
        <w:widowControl/>
        <w:jc w:val="left"/>
        <w:rPr>
          <w:rFonts w:ascii="宋体" w:hAnsi="宋体" w:cs="宋体"/>
          <w:kern w:val="0"/>
          <w:szCs w:val="21"/>
        </w:rPr>
      </w:pPr>
      <w:r>
        <w:rPr>
          <w:rFonts w:hint="eastAsia" w:ascii="宋体" w:hAnsi="宋体" w:cs="宋体"/>
          <w:kern w:val="0"/>
          <w:szCs w:val="21"/>
        </w:rPr>
        <w:t>完善信息后，点击修改保存按钮后即可新增好一条采购分项。（如还需再次新增，请继续点击“新增条目”按钮）</w:t>
      </w:r>
    </w:p>
    <w:p>
      <w:pPr>
        <w:widowControl/>
        <w:jc w:val="left"/>
        <w:rPr>
          <w:rFonts w:ascii="宋体" w:hAnsi="宋体" w:cs="宋体"/>
          <w:b/>
          <w:color w:val="FF0000"/>
          <w:kern w:val="0"/>
          <w:szCs w:val="21"/>
        </w:rPr>
      </w:pPr>
      <w:r>
        <w:rPr>
          <w:rFonts w:hint="eastAsia" w:ascii="宋体" w:hAnsi="宋体" w:cs="宋体"/>
          <w:b/>
          <w:color w:val="FF0000"/>
          <w:kern w:val="0"/>
          <w:szCs w:val="21"/>
        </w:rPr>
        <w:t>注：</w:t>
      </w:r>
    </w:p>
    <w:p>
      <w:pPr>
        <w:widowControl/>
        <w:jc w:val="left"/>
        <w:rPr>
          <w:rFonts w:ascii="宋体" w:hAnsi="宋体" w:cs="宋体"/>
          <w:b/>
          <w:color w:val="FF0000"/>
          <w:kern w:val="0"/>
          <w:szCs w:val="21"/>
        </w:rPr>
      </w:pPr>
      <w:r>
        <w:rPr>
          <w:rFonts w:hint="eastAsia" w:ascii="宋体" w:hAnsi="宋体" w:cs="宋体"/>
          <w:b/>
          <w:color w:val="FF0000"/>
          <w:kern w:val="0"/>
          <w:szCs w:val="21"/>
        </w:rPr>
        <w:t>1）如果需要采购单一来源采购且预算金额达到了公开招标限额以上的，可以在此处新增单一来源公示！！！</w:t>
      </w:r>
    </w:p>
    <w:p>
      <w:pPr>
        <w:widowControl/>
        <w:jc w:val="center"/>
        <w:rPr>
          <w:rFonts w:ascii="宋体" w:hAnsi="宋体" w:cs="宋体"/>
          <w:b/>
          <w:color w:val="FF0000"/>
          <w:kern w:val="0"/>
          <w:szCs w:val="21"/>
        </w:rPr>
      </w:pPr>
      <w:r>
        <w:drawing>
          <wp:inline distT="0" distB="0" distL="0" distR="0">
            <wp:extent cx="5772150" cy="831850"/>
            <wp:effectExtent l="0" t="0" r="0" b="0"/>
            <wp:docPr id="248" name="图片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248"/>
                    <pic:cNvPicPr>
                      <a:picLocks noChangeAspect="1"/>
                    </pic:cNvPicPr>
                  </pic:nvPicPr>
                  <pic:blipFill>
                    <a:blip r:embed="rId20"/>
                    <a:stretch>
                      <a:fillRect/>
                    </a:stretch>
                  </pic:blipFill>
                  <pic:spPr>
                    <a:xfrm>
                      <a:off x="0" y="0"/>
                      <a:ext cx="5939045" cy="856079"/>
                    </a:xfrm>
                    <a:prstGeom prst="rect">
                      <a:avLst/>
                    </a:prstGeom>
                  </pic:spPr>
                </pic:pic>
              </a:graphicData>
            </a:graphic>
          </wp:inline>
        </w:drawing>
      </w:r>
    </w:p>
    <w:p>
      <w:pPr>
        <w:rPr>
          <w:b/>
          <w:color w:val="FF0000"/>
        </w:rPr>
      </w:pPr>
      <w:r>
        <w:rPr>
          <w:rFonts w:hint="eastAsia"/>
          <w:b/>
          <w:color w:val="FF0000"/>
        </w:rPr>
        <w:t>2）已审核通过的采购计划如果有误，可联系主管预算单位退回该计划。主管预算单位在审核通过状态下，可点击</w:t>
      </w:r>
      <w:r>
        <w:rPr>
          <w:b/>
          <w:color w:val="FF0000"/>
        </w:rPr>
        <w:drawing>
          <wp:inline distT="0" distB="0" distL="0" distR="0">
            <wp:extent cx="1161415" cy="323215"/>
            <wp:effectExtent l="0" t="0" r="635" b="635"/>
            <wp:docPr id="253" name="图片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图片 253"/>
                    <pic:cNvPicPr>
                      <a:picLocks noChangeAspect="1"/>
                    </pic:cNvPicPr>
                  </pic:nvPicPr>
                  <pic:blipFill>
                    <a:blip r:embed="rId21"/>
                    <a:stretch>
                      <a:fillRect/>
                    </a:stretch>
                  </pic:blipFill>
                  <pic:spPr>
                    <a:xfrm>
                      <a:off x="0" y="0"/>
                      <a:ext cx="1161905" cy="323810"/>
                    </a:xfrm>
                    <a:prstGeom prst="rect">
                      <a:avLst/>
                    </a:prstGeom>
                  </pic:spPr>
                </pic:pic>
              </a:graphicData>
            </a:graphic>
          </wp:inline>
        </w:drawing>
      </w:r>
      <w:r>
        <w:rPr>
          <w:rFonts w:hint="eastAsia"/>
          <w:b/>
          <w:color w:val="FF0000"/>
        </w:rPr>
        <w:t>按钮，如下图所示：</w:t>
      </w:r>
    </w:p>
    <w:p>
      <w:pPr>
        <w:jc w:val="center"/>
      </w:pPr>
      <w:r>
        <w:drawing>
          <wp:inline distT="0" distB="0" distL="0" distR="0">
            <wp:extent cx="5787390" cy="947420"/>
            <wp:effectExtent l="0" t="0" r="0" b="0"/>
            <wp:docPr id="251" name="图片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51"/>
                    <pic:cNvPicPr>
                      <a:picLocks noChangeAspect="1"/>
                    </pic:cNvPicPr>
                  </pic:nvPicPr>
                  <pic:blipFill>
                    <a:blip r:embed="rId22"/>
                    <a:stretch>
                      <a:fillRect/>
                    </a:stretch>
                  </pic:blipFill>
                  <pic:spPr>
                    <a:xfrm>
                      <a:off x="0" y="0"/>
                      <a:ext cx="5861331" cy="959928"/>
                    </a:xfrm>
                    <a:prstGeom prst="rect">
                      <a:avLst/>
                    </a:prstGeom>
                  </pic:spPr>
                </pic:pic>
              </a:graphicData>
            </a:graphic>
          </wp:inline>
        </w:drawing>
      </w:r>
    </w:p>
    <w:p>
      <w:pPr>
        <w:pStyle w:val="3"/>
      </w:pPr>
      <w:bookmarkStart w:id="3" w:name="_Toc501551410"/>
      <w:r>
        <w:rPr>
          <w:rFonts w:hint="eastAsia"/>
        </w:rPr>
        <w:t>挑选组织形式</w:t>
      </w:r>
      <w:bookmarkEnd w:id="3"/>
    </w:p>
    <w:p>
      <w:r>
        <w:rPr>
          <w:rFonts w:hint="eastAsia"/>
          <w:b/>
        </w:rPr>
        <w:t>主管预算单位</w:t>
      </w:r>
      <w:r>
        <w:rPr>
          <w:rFonts w:hint="eastAsia"/>
        </w:rPr>
        <w:t>可在挑选组织形式页面上，挑选采购项目的组织形式</w:t>
      </w:r>
      <w:r>
        <w:rPr>
          <w:rFonts w:hint="eastAsia"/>
          <w:lang w:eastAsia="zh-CN"/>
        </w:rPr>
        <w:t>：</w:t>
      </w:r>
      <w:r>
        <w:rPr>
          <w:rFonts w:hint="eastAsia"/>
          <w:b/>
          <w:bCs/>
          <w:lang w:val="en-US" w:eastAsia="zh-CN"/>
        </w:rPr>
        <w:t>集中-新协议采购</w:t>
      </w:r>
      <w:r>
        <w:rPr>
          <w:rFonts w:hint="eastAsia"/>
        </w:rPr>
        <w:t>；</w:t>
      </w:r>
      <w:r>
        <w:rPr>
          <w:rFonts w:hint="eastAsia"/>
          <w:b/>
        </w:rPr>
        <w:t>下级预算单位</w:t>
      </w:r>
      <w:r>
        <w:rPr>
          <w:rFonts w:hint="eastAsia"/>
        </w:rPr>
        <w:t>只能查看自己所报的采购项目的组织形式，无法操作。</w:t>
      </w:r>
    </w:p>
    <w:p>
      <w:pPr>
        <w:jc w:val="center"/>
      </w:pPr>
      <w:r>
        <w:drawing>
          <wp:inline distT="0" distB="0" distL="0" distR="0">
            <wp:extent cx="5962650" cy="1291590"/>
            <wp:effectExtent l="0" t="0" r="0"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pic:cNvPicPr>
                  </pic:nvPicPr>
                  <pic:blipFill>
                    <a:blip r:embed="rId23"/>
                    <a:stretch>
                      <a:fillRect/>
                    </a:stretch>
                  </pic:blipFill>
                  <pic:spPr>
                    <a:xfrm>
                      <a:off x="0" y="0"/>
                      <a:ext cx="6020772" cy="1304266"/>
                    </a:xfrm>
                    <a:prstGeom prst="rect">
                      <a:avLst/>
                    </a:prstGeom>
                  </pic:spPr>
                </pic:pic>
              </a:graphicData>
            </a:graphic>
          </wp:inline>
        </w:drawing>
      </w:r>
    </w:p>
    <w:p>
      <w:r>
        <w:rPr>
          <w:rFonts w:hint="eastAsia"/>
        </w:rPr>
        <w:t>勾选到需要确定组织形式的项目之后，点击左上角的“确定选择”按钮，主管预算单位可根据实际情况选择采购项目的组织形式，如下图所示：</w:t>
      </w:r>
    </w:p>
    <w:p>
      <w:pPr>
        <w:jc w:val="center"/>
      </w:pPr>
      <w:r>
        <w:drawing>
          <wp:inline distT="0" distB="0" distL="114300" distR="114300">
            <wp:extent cx="5979160" cy="2500630"/>
            <wp:effectExtent l="0" t="0" r="2540" b="13970"/>
            <wp:docPr id="3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8"/>
                    <pic:cNvPicPr>
                      <a:picLocks noChangeAspect="1"/>
                    </pic:cNvPicPr>
                  </pic:nvPicPr>
                  <pic:blipFill>
                    <a:blip r:embed="rId24"/>
                    <a:stretch>
                      <a:fillRect/>
                    </a:stretch>
                  </pic:blipFill>
                  <pic:spPr>
                    <a:xfrm>
                      <a:off x="0" y="0"/>
                      <a:ext cx="5979160" cy="2500630"/>
                    </a:xfrm>
                    <a:prstGeom prst="rect">
                      <a:avLst/>
                    </a:prstGeom>
                    <a:noFill/>
                    <a:ln>
                      <a:noFill/>
                    </a:ln>
                  </pic:spPr>
                </pic:pic>
              </a:graphicData>
            </a:graphic>
          </wp:inline>
        </w:drawing>
      </w:r>
    </w:p>
    <w:p>
      <w:pPr>
        <w:widowControl/>
        <w:ind w:firstLine="210" w:firstLineChars="100"/>
        <w:jc w:val="left"/>
        <w:rPr>
          <w:rFonts w:ascii="宋体" w:hAnsi="宋体" w:cs="宋体"/>
          <w:color w:val="FF0000"/>
          <w:kern w:val="0"/>
          <w:szCs w:val="21"/>
        </w:rPr>
      </w:pPr>
      <w:r>
        <w:rPr>
          <w:rFonts w:hint="eastAsia" w:ascii="宋体" w:hAnsi="宋体" w:cs="宋体"/>
          <w:color w:val="FF0000"/>
          <w:kern w:val="0"/>
          <w:szCs w:val="21"/>
        </w:rPr>
        <w:t>选择了项目的组织形式之后，可点击左上角的“确定组织形式”按钮</w:t>
      </w:r>
      <w:r>
        <w:rPr>
          <w:szCs w:val="21"/>
        </w:rPr>
        <w:drawing>
          <wp:inline distT="0" distB="0" distL="0" distR="0">
            <wp:extent cx="1266190" cy="332740"/>
            <wp:effectExtent l="0" t="0" r="0" b="0"/>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pic:cNvPicPr>
                  </pic:nvPicPr>
                  <pic:blipFill>
                    <a:blip r:embed="rId25"/>
                    <a:stretch>
                      <a:fillRect/>
                    </a:stretch>
                  </pic:blipFill>
                  <pic:spPr>
                    <a:xfrm>
                      <a:off x="0" y="0"/>
                      <a:ext cx="1266667" cy="333333"/>
                    </a:xfrm>
                    <a:prstGeom prst="rect">
                      <a:avLst/>
                    </a:prstGeom>
                  </pic:spPr>
                </pic:pic>
              </a:graphicData>
            </a:graphic>
          </wp:inline>
        </w:drawing>
      </w:r>
      <w:r>
        <w:rPr>
          <w:rFonts w:hint="eastAsia" w:ascii="宋体" w:hAnsi="宋体" w:cs="宋体"/>
          <w:color w:val="FF0000"/>
          <w:kern w:val="0"/>
          <w:szCs w:val="21"/>
        </w:rPr>
        <w:t>。如需撤销该操作，可在该页面中的已组建中，点击“撤销”按钮</w:t>
      </w:r>
      <w:r>
        <w:rPr>
          <w:szCs w:val="21"/>
        </w:rPr>
        <w:drawing>
          <wp:inline distT="0" distB="0" distL="0" distR="0">
            <wp:extent cx="694690" cy="332740"/>
            <wp:effectExtent l="0" t="0" r="0" b="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pic:cNvPicPr>
                      <a:picLocks noChangeAspect="1"/>
                    </pic:cNvPicPr>
                  </pic:nvPicPr>
                  <pic:blipFill>
                    <a:blip r:embed="rId26"/>
                    <a:stretch>
                      <a:fillRect/>
                    </a:stretch>
                  </pic:blipFill>
                  <pic:spPr>
                    <a:xfrm>
                      <a:off x="0" y="0"/>
                      <a:ext cx="695238" cy="333333"/>
                    </a:xfrm>
                    <a:prstGeom prst="rect">
                      <a:avLst/>
                    </a:prstGeom>
                  </pic:spPr>
                </pic:pic>
              </a:graphicData>
            </a:graphic>
          </wp:inline>
        </w:drawing>
      </w:r>
      <w:r>
        <w:rPr>
          <w:rFonts w:hint="eastAsia" w:ascii="宋体" w:hAnsi="宋体" w:cs="宋体"/>
          <w:color w:val="FF0000"/>
          <w:kern w:val="0"/>
          <w:szCs w:val="21"/>
        </w:rPr>
        <w:t>，可完成撤销操作。</w:t>
      </w:r>
    </w:p>
    <w:p>
      <w:pPr>
        <w:widowControl/>
        <w:ind w:firstLine="211" w:firstLineChars="100"/>
        <w:jc w:val="left"/>
        <w:rPr>
          <w:rFonts w:hint="default" w:ascii="宋体" w:hAnsi="宋体" w:eastAsia="宋体" w:cs="宋体"/>
          <w:b/>
          <w:kern w:val="0"/>
          <w:szCs w:val="21"/>
          <w:lang w:val="en-US" w:eastAsia="zh-CN"/>
        </w:rPr>
      </w:pPr>
      <w:r>
        <w:rPr>
          <w:rFonts w:hint="eastAsia" w:ascii="宋体" w:hAnsi="宋体" w:cs="宋体"/>
          <w:b/>
          <w:kern w:val="0"/>
          <w:szCs w:val="21"/>
        </w:rPr>
        <w:t>注：</w:t>
      </w:r>
      <w:r>
        <w:rPr>
          <w:rFonts w:hint="eastAsia" w:ascii="宋体" w:hAnsi="宋体" w:cs="宋体"/>
          <w:b/>
          <w:kern w:val="0"/>
          <w:szCs w:val="21"/>
          <w:lang w:eastAsia="zh-CN"/>
        </w:rPr>
        <w:t>组织形式确定后自动分配采购项目编号（条目编号），生成规则为“</w:t>
      </w:r>
      <w:r>
        <w:rPr>
          <w:rFonts w:hint="eastAsia" w:ascii="宋体" w:hAnsi="宋体" w:cs="宋体"/>
          <w:b/>
          <w:kern w:val="0"/>
          <w:szCs w:val="21"/>
          <w:lang w:val="en-US" w:eastAsia="zh-CN"/>
        </w:rPr>
        <w:t>XX购2019A0000XXXX</w:t>
      </w:r>
      <w:r>
        <w:rPr>
          <w:rFonts w:hint="eastAsia" w:ascii="宋体" w:hAnsi="宋体" w:cs="宋体"/>
          <w:b/>
          <w:kern w:val="0"/>
          <w:szCs w:val="21"/>
          <w:lang w:eastAsia="zh-CN"/>
        </w:rPr>
        <w:t>”，编号为带“</w:t>
      </w:r>
      <w:r>
        <w:rPr>
          <w:rFonts w:hint="eastAsia" w:ascii="宋体" w:hAnsi="宋体" w:cs="宋体"/>
          <w:b/>
          <w:kern w:val="0"/>
          <w:szCs w:val="21"/>
          <w:lang w:val="en-US" w:eastAsia="zh-CN"/>
        </w:rPr>
        <w:t>A</w:t>
      </w:r>
      <w:r>
        <w:rPr>
          <w:rFonts w:hint="eastAsia" w:ascii="宋体" w:hAnsi="宋体" w:cs="宋体"/>
          <w:b/>
          <w:kern w:val="0"/>
          <w:szCs w:val="21"/>
          <w:lang w:eastAsia="zh-CN"/>
        </w:rPr>
        <w:t>”。</w:t>
      </w:r>
    </w:p>
    <w:p/>
    <w:p>
      <w:pPr>
        <w:pStyle w:val="2"/>
        <w:rPr>
          <w:kern w:val="0"/>
        </w:rPr>
      </w:pPr>
      <w:bookmarkStart w:id="4" w:name="_Toc501551426"/>
      <w:r>
        <w:rPr>
          <w:rFonts w:hint="eastAsia"/>
          <w:kern w:val="0"/>
          <w:lang w:eastAsia="zh-CN"/>
        </w:rPr>
        <w:t>新</w:t>
      </w:r>
      <w:r>
        <w:rPr>
          <w:rFonts w:hint="eastAsia"/>
          <w:kern w:val="0"/>
        </w:rPr>
        <w:t>协议采购</w:t>
      </w:r>
      <w:bookmarkEnd w:id="4"/>
      <w:r>
        <w:rPr>
          <w:rFonts w:hint="eastAsia"/>
          <w:kern w:val="0"/>
          <w:lang w:eastAsia="zh-CN"/>
        </w:rPr>
        <w:t>商品挑选</w:t>
      </w:r>
    </w:p>
    <w:p>
      <w:pPr>
        <w:pStyle w:val="3"/>
      </w:pPr>
      <w:bookmarkStart w:id="5" w:name="_Toc501551427"/>
      <w:r>
        <w:rPr>
          <w:rFonts w:hint="eastAsia"/>
        </w:rPr>
        <w:t>挑选协议商品</w:t>
      </w:r>
      <w:bookmarkEnd w:id="5"/>
    </w:p>
    <w:p>
      <w:r>
        <w:rPr>
          <w:rFonts w:hint="eastAsia"/>
        </w:rPr>
        <w:t>采购单位业务管理，进入菜单“</w:t>
      </w:r>
      <w:r>
        <w:rPr>
          <w:rFonts w:hint="eastAsia"/>
          <w:lang w:eastAsia="zh-CN"/>
        </w:rPr>
        <w:t>新</w:t>
      </w:r>
      <w:r>
        <w:rPr>
          <w:rFonts w:hint="eastAsia"/>
        </w:rPr>
        <w:t>协议采购</w:t>
      </w:r>
      <w:r>
        <w:t>—</w:t>
      </w:r>
      <w:r>
        <w:rPr>
          <w:rFonts w:hint="eastAsia"/>
        </w:rPr>
        <w:t>挑选协议商品”，如下图：</w:t>
      </w:r>
    </w:p>
    <w:p>
      <w:r>
        <w:drawing>
          <wp:inline distT="0" distB="0" distL="114300" distR="114300">
            <wp:extent cx="5726430" cy="1643380"/>
            <wp:effectExtent l="0" t="0" r="7620" b="139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7"/>
                    <a:stretch>
                      <a:fillRect/>
                    </a:stretch>
                  </pic:blipFill>
                  <pic:spPr>
                    <a:xfrm>
                      <a:off x="0" y="0"/>
                      <a:ext cx="5726430" cy="1643380"/>
                    </a:xfrm>
                    <a:prstGeom prst="rect">
                      <a:avLst/>
                    </a:prstGeom>
                    <a:noFill/>
                    <a:ln>
                      <a:noFill/>
                    </a:ln>
                  </pic:spPr>
                </pic:pic>
              </a:graphicData>
            </a:graphic>
          </wp:inline>
        </w:drawing>
      </w:r>
    </w:p>
    <w:p>
      <w:pPr>
        <w:rPr>
          <w:color w:val="FF0000"/>
        </w:rPr>
      </w:pPr>
      <w:r>
        <w:rPr>
          <w:rFonts w:hint="eastAsia"/>
        </w:rPr>
        <w:t xml:space="preserve">        </w:t>
      </w:r>
      <w:r>
        <w:rPr>
          <w:rFonts w:hint="eastAsia"/>
          <w:color w:val="FF0000"/>
        </w:rPr>
        <w:t>这里显示</w:t>
      </w:r>
      <w:r>
        <w:rPr>
          <w:color w:val="FF0000"/>
        </w:rPr>
        <w:t>的是未</w:t>
      </w:r>
      <w:r>
        <w:rPr>
          <w:rFonts w:hint="eastAsia"/>
          <w:color w:val="FF0000"/>
        </w:rPr>
        <w:t>挑选</w:t>
      </w:r>
      <w:r>
        <w:rPr>
          <w:color w:val="FF0000"/>
        </w:rPr>
        <w:t>的</w:t>
      </w:r>
      <w:r>
        <w:rPr>
          <w:rFonts w:hint="eastAsia"/>
          <w:color w:val="FF0000"/>
        </w:rPr>
        <w:t>协议采购项目</w:t>
      </w:r>
      <w:r>
        <w:rPr>
          <w:color w:val="FF0000"/>
        </w:rPr>
        <w:t>，点击右边的指定商品可进入</w:t>
      </w:r>
      <w:r>
        <w:rPr>
          <w:rFonts w:hint="eastAsia"/>
          <w:color w:val="FF0000"/>
        </w:rPr>
        <w:t>挑选商品的</w:t>
      </w:r>
      <w:r>
        <w:rPr>
          <w:color w:val="FF0000"/>
        </w:rPr>
        <w:t>页面</w:t>
      </w:r>
    </w:p>
    <w:p>
      <w:r>
        <w:rPr>
          <w:rFonts w:hint="eastAsia"/>
        </w:rPr>
        <w:t>点击“指定商品”按钮后，</w:t>
      </w:r>
      <w:r>
        <w:rPr>
          <w:rFonts w:hint="eastAsia"/>
          <w:lang w:eastAsia="zh-CN"/>
        </w:rPr>
        <w:t>直接进入竞价页面</w:t>
      </w:r>
      <w:r>
        <w:rPr>
          <w:rFonts w:hint="eastAsia"/>
        </w:rPr>
        <w:t>。</w:t>
      </w:r>
    </w:p>
    <w:p>
      <w:pPr>
        <w:rPr>
          <w:rFonts w:hint="eastAsia" w:eastAsia="宋体"/>
          <w:lang w:eastAsia="zh-CN"/>
        </w:rPr>
      </w:pPr>
    </w:p>
    <w:p>
      <w:r>
        <w:rPr>
          <w:rFonts w:hint="eastAsia"/>
        </w:rPr>
        <w:t>说明：</w:t>
      </w:r>
    </w:p>
    <w:p>
      <w:pPr>
        <w:numPr>
          <w:ilvl w:val="0"/>
          <w:numId w:val="3"/>
        </w:numPr>
      </w:pPr>
      <w:r>
        <w:rPr>
          <w:rFonts w:hint="eastAsia"/>
        </w:rPr>
        <w:t>协议竞价是挑选商品后，通过多家供应商</w:t>
      </w:r>
      <w:r>
        <w:rPr>
          <w:rFonts w:hint="eastAsia"/>
          <w:lang w:eastAsia="zh-CN"/>
        </w:rPr>
        <w:t>（采购单位所在辖区在供应商供货辖区范围内）</w:t>
      </w:r>
      <w:r>
        <w:rPr>
          <w:rFonts w:hint="eastAsia"/>
        </w:rPr>
        <w:t>报价（48小时之内），取最低价成交，且报价供应商不少于三家，时间截至后，采购单位才能指定中标单位</w:t>
      </w:r>
      <w:r>
        <w:rPr>
          <w:rFonts w:hint="eastAsia"/>
          <w:lang w:eastAsia="zh-CN"/>
        </w:rPr>
        <w:t>，合同备案金额为竞价后产生的最终价格，且无法修改中标金额</w:t>
      </w:r>
      <w:r>
        <w:rPr>
          <w:rFonts w:hint="eastAsia"/>
        </w:rPr>
        <w:t>。</w:t>
      </w:r>
    </w:p>
    <w:p>
      <w:pPr>
        <w:numPr>
          <w:ilvl w:val="0"/>
          <w:numId w:val="3"/>
        </w:numPr>
      </w:pPr>
      <w:r>
        <w:rPr>
          <w:rFonts w:hint="eastAsia"/>
          <w:lang w:eastAsia="zh-CN"/>
        </w:rPr>
        <w:t>选择直销产品，</w:t>
      </w:r>
      <w:r>
        <w:rPr>
          <w:rFonts w:hint="eastAsia"/>
        </w:rPr>
        <w:t>是先挑商品，然后指定其中一家供应商</w:t>
      </w:r>
      <w:r>
        <w:rPr>
          <w:rFonts w:hint="eastAsia"/>
          <w:lang w:eastAsia="zh-CN"/>
        </w:rPr>
        <w:t>作为中标人，采购单位所在的辖区在供应商供货辖区范围内，只需要满足一家即可购买，合同金额自动获取商品的市场价和配件价之和，因项目要求，有些产品可进行修改，所以直销的项目可修改合同备案金额</w:t>
      </w:r>
      <w:r>
        <w:rPr>
          <w:rFonts w:hint="eastAsia"/>
        </w:rPr>
        <w:t>。</w:t>
      </w:r>
    </w:p>
    <w:p>
      <w:r>
        <w:rPr>
          <w:rFonts w:hint="eastAsia"/>
        </w:rPr>
        <w:t>上述步骤操作完后，进入选择商品页面，如下图：</w:t>
      </w:r>
    </w:p>
    <w:p/>
    <w:p>
      <w:r>
        <w:drawing>
          <wp:inline distT="0" distB="0" distL="114300" distR="114300">
            <wp:extent cx="5730875" cy="2484120"/>
            <wp:effectExtent l="0" t="0" r="3175" b="1143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8"/>
                    <a:stretch>
                      <a:fillRect/>
                    </a:stretch>
                  </pic:blipFill>
                  <pic:spPr>
                    <a:xfrm>
                      <a:off x="0" y="0"/>
                      <a:ext cx="5730875" cy="2484120"/>
                    </a:xfrm>
                    <a:prstGeom prst="rect">
                      <a:avLst/>
                    </a:prstGeom>
                    <a:noFill/>
                    <a:ln>
                      <a:noFill/>
                    </a:ln>
                  </pic:spPr>
                </pic:pic>
              </a:graphicData>
            </a:graphic>
          </wp:inline>
        </w:drawing>
      </w:r>
    </w:p>
    <w:p/>
    <w:p>
      <w:r>
        <w:rPr>
          <w:rFonts w:hint="eastAsia"/>
        </w:rPr>
        <w:t>点击“选取单一品牌”后进入商品库挑选商品。参考图片如下图所示：</w:t>
      </w:r>
    </w:p>
    <w:p/>
    <w:p/>
    <w:p/>
    <w:p/>
    <w:p>
      <w:r>
        <w:drawing>
          <wp:inline distT="0" distB="0" distL="0" distR="0">
            <wp:extent cx="5589905" cy="1189355"/>
            <wp:effectExtent l="0" t="0" r="0" b="0"/>
            <wp:docPr id="193" name="图片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93"/>
                    <pic:cNvPicPr>
                      <a:picLocks noChangeAspect="1"/>
                    </pic:cNvPicPr>
                  </pic:nvPicPr>
                  <pic:blipFill>
                    <a:blip r:embed="rId29"/>
                    <a:stretch>
                      <a:fillRect/>
                    </a:stretch>
                  </pic:blipFill>
                  <pic:spPr>
                    <a:xfrm>
                      <a:off x="0" y="0"/>
                      <a:ext cx="5668038" cy="1206425"/>
                    </a:xfrm>
                    <a:prstGeom prst="rect">
                      <a:avLst/>
                    </a:prstGeom>
                  </pic:spPr>
                </pic:pic>
              </a:graphicData>
            </a:graphic>
          </wp:inline>
        </w:drawing>
      </w:r>
    </w:p>
    <w:p>
      <w:r>
        <w:rPr>
          <w:rFonts w:hint="eastAsia"/>
        </w:rPr>
        <w:t>点击所需</w:t>
      </w:r>
      <w:r>
        <w:t>商品类</w:t>
      </w:r>
      <w:r>
        <w:rPr>
          <w:rFonts w:hint="eastAsia"/>
        </w:rPr>
        <w:t>别，</w:t>
      </w:r>
      <w:r>
        <w:t>进入挑选</w:t>
      </w:r>
      <w:r>
        <w:rPr>
          <w:rFonts w:hint="eastAsia"/>
        </w:rPr>
        <w:t>商品品牌产品</w:t>
      </w:r>
      <w:r>
        <w:t>。</w:t>
      </w:r>
    </w:p>
    <w:p>
      <w:r>
        <w:drawing>
          <wp:inline distT="0" distB="0" distL="0" distR="0">
            <wp:extent cx="5457190" cy="1729740"/>
            <wp:effectExtent l="0" t="0" r="0" b="0"/>
            <wp:docPr id="195" name="图片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95"/>
                    <pic:cNvPicPr>
                      <a:picLocks noChangeAspect="1"/>
                    </pic:cNvPicPr>
                  </pic:nvPicPr>
                  <pic:blipFill>
                    <a:blip r:embed="rId30"/>
                    <a:stretch>
                      <a:fillRect/>
                    </a:stretch>
                  </pic:blipFill>
                  <pic:spPr>
                    <a:xfrm>
                      <a:off x="0" y="0"/>
                      <a:ext cx="5502672" cy="1744501"/>
                    </a:xfrm>
                    <a:prstGeom prst="rect">
                      <a:avLst/>
                    </a:prstGeom>
                  </pic:spPr>
                </pic:pic>
              </a:graphicData>
            </a:graphic>
          </wp:inline>
        </w:drawing>
      </w:r>
    </w:p>
    <w:p/>
    <w:p/>
    <w:p>
      <w:r>
        <w:drawing>
          <wp:inline distT="0" distB="0" distL="0" distR="0">
            <wp:extent cx="5697855" cy="2228850"/>
            <wp:effectExtent l="0" t="0" r="0" b="0"/>
            <wp:docPr id="198" name="图片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98"/>
                    <pic:cNvPicPr>
                      <a:picLocks noChangeAspect="1"/>
                    </pic:cNvPicPr>
                  </pic:nvPicPr>
                  <pic:blipFill>
                    <a:blip r:embed="rId31"/>
                    <a:stretch>
                      <a:fillRect/>
                    </a:stretch>
                  </pic:blipFill>
                  <pic:spPr>
                    <a:xfrm>
                      <a:off x="0" y="0"/>
                      <a:ext cx="5708244" cy="2232914"/>
                    </a:xfrm>
                    <a:prstGeom prst="rect">
                      <a:avLst/>
                    </a:prstGeom>
                  </pic:spPr>
                </pic:pic>
              </a:graphicData>
            </a:graphic>
          </wp:inline>
        </w:drawing>
      </w:r>
    </w:p>
    <w:p/>
    <w:p>
      <w:pPr>
        <w:rPr>
          <w:rFonts w:hint="eastAsia"/>
        </w:rPr>
      </w:pPr>
      <w:r>
        <w:rPr>
          <w:rFonts w:hint="eastAsia"/>
        </w:rPr>
        <w:t>选好商品后，填写相关信息，点击提交按钮后，</w:t>
      </w:r>
      <w:r>
        <w:rPr>
          <w:rFonts w:hint="eastAsia"/>
          <w:lang w:eastAsia="zh-CN"/>
        </w:rPr>
        <w:t>针对非直销产品，</w:t>
      </w:r>
      <w:r>
        <w:rPr>
          <w:rFonts w:hint="eastAsia"/>
        </w:rPr>
        <w:t>该商品就会自动进入竞价系统，有经销商权限的供应商就可以对该商品进行竞价</w:t>
      </w:r>
      <w:r>
        <w:rPr>
          <w:rFonts w:hint="eastAsia"/>
          <w:lang w:eastAsia="zh-CN"/>
        </w:rPr>
        <w:t>；针对直销产品，由采购单位选择中标协议供应商如图：</w:t>
      </w:r>
    </w:p>
    <w:p>
      <w:pPr>
        <w:rPr>
          <w:rFonts w:hint="eastAsia"/>
        </w:rPr>
      </w:pPr>
      <w:r>
        <w:drawing>
          <wp:inline distT="0" distB="0" distL="114300" distR="114300">
            <wp:extent cx="5721350" cy="2494915"/>
            <wp:effectExtent l="0" t="0" r="12700" b="63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32"/>
                    <a:stretch>
                      <a:fillRect/>
                    </a:stretch>
                  </pic:blipFill>
                  <pic:spPr>
                    <a:xfrm>
                      <a:off x="0" y="0"/>
                      <a:ext cx="5721350" cy="2494915"/>
                    </a:xfrm>
                    <a:prstGeom prst="rect">
                      <a:avLst/>
                    </a:prstGeom>
                    <a:noFill/>
                    <a:ln>
                      <a:noFill/>
                    </a:ln>
                  </pic:spPr>
                </pic:pic>
              </a:graphicData>
            </a:graphic>
          </wp:inline>
        </w:drawing>
      </w:r>
    </w:p>
    <w:p>
      <w:pPr>
        <w:ind w:firstLine="422" w:firstLineChars="200"/>
      </w:pPr>
      <w:r>
        <w:rPr>
          <w:rFonts w:hint="eastAsia"/>
          <w:b/>
        </w:rPr>
        <w:t>指定协议中标单位</w:t>
      </w:r>
      <w:r>
        <w:rPr>
          <w:rFonts w:hint="eastAsia"/>
        </w:rPr>
        <w:t>：竞价结束后，采购单位可以在这里指定中标单位，最低价中标原则，如果没有单位进行竞价，可以联系采购办退回竞价项目，重新挑选商品后，进入竞价系统重新竞价。</w:t>
      </w:r>
    </w:p>
    <w:p>
      <w:pPr>
        <w:ind w:firstLine="422" w:firstLineChars="200"/>
      </w:pPr>
      <w:r>
        <w:rPr>
          <w:rFonts w:hint="eastAsia"/>
          <w:b/>
        </w:rPr>
        <w:t>商品展示</w:t>
      </w:r>
      <w:r>
        <w:rPr>
          <w:rFonts w:hint="eastAsia"/>
        </w:rPr>
        <w:t>：这里可以查看到商品库的所有商品，采购单位在挑选商品前，可以到这里预先看看有哪些合适的商品。</w:t>
      </w:r>
    </w:p>
    <w:p>
      <w:pPr>
        <w:ind w:firstLine="422" w:firstLineChars="200"/>
      </w:pPr>
      <w:r>
        <w:rPr>
          <w:rFonts w:hint="eastAsia"/>
          <w:b/>
        </w:rPr>
        <w:t>查看竞价情况</w:t>
      </w:r>
      <w:r>
        <w:rPr>
          <w:rFonts w:hint="eastAsia"/>
        </w:rPr>
        <w:t>：这里可以看到本单位所有项目的竞价情况。</w:t>
      </w:r>
    </w:p>
    <w:p>
      <w:pPr>
        <w:ind w:firstLine="420" w:firstLineChars="200"/>
      </w:pPr>
    </w:p>
    <w:p>
      <w:pPr>
        <w:pStyle w:val="3"/>
      </w:pPr>
      <w:bookmarkStart w:id="6" w:name="_Toc501551428"/>
      <w:r>
        <w:rPr>
          <w:rFonts w:hint="eastAsia"/>
          <w:lang w:eastAsia="zh-CN"/>
        </w:rPr>
        <w:t>供应商竞价</w:t>
      </w:r>
    </w:p>
    <w:p>
      <w:pPr>
        <w:rPr>
          <w:rFonts w:hint="eastAsia"/>
          <w:lang w:eastAsia="zh-CN"/>
        </w:rPr>
      </w:pPr>
      <w:r>
        <w:rPr>
          <w:rFonts w:hint="eastAsia"/>
          <w:lang w:eastAsia="zh-CN"/>
        </w:rPr>
        <w:t>针对非直销产品，采购单位所在辖区在供应商供货辖区范围内（如南昌市本级、南昌县等南昌地区采购单位项目，供应商即供货商的供货区在南昌，则改供应商即可看到这些项目进行竞价；直销的产品供货情况也类似，只是直销产品无需竞价），供应商即可进行竞价。</w:t>
      </w:r>
    </w:p>
    <w:p>
      <w:pPr>
        <w:rPr>
          <w:rFonts w:hint="eastAsia"/>
          <w:lang w:eastAsia="zh-CN"/>
        </w:rPr>
      </w:pPr>
      <w:r>
        <w:rPr>
          <w:rFonts w:hint="eastAsia"/>
          <w:lang w:eastAsia="zh-CN"/>
        </w:rPr>
        <w:t>注：竞价时间也是两天，与目前的协议采购一致，只是新协议采购无优惠率。</w:t>
      </w:r>
    </w:p>
    <w:p>
      <w:pPr>
        <w:pStyle w:val="3"/>
      </w:pPr>
      <w:r>
        <w:rPr>
          <w:rFonts w:hint="eastAsia"/>
        </w:rPr>
        <w:t>指定协议中标单位</w:t>
      </w:r>
      <w:bookmarkEnd w:id="6"/>
    </w:p>
    <w:p>
      <w:pPr>
        <w:ind w:left="425"/>
      </w:pPr>
      <w:r>
        <w:rPr>
          <w:rFonts w:hint="eastAsia"/>
        </w:rPr>
        <w:t>采购单位身份登入，进入菜单“协议采购—指定协议中标单位”，参考图片：</w:t>
      </w:r>
    </w:p>
    <w:p>
      <w:pPr>
        <w:ind w:left="425"/>
      </w:pPr>
      <w:r>
        <w:drawing>
          <wp:inline distT="0" distB="0" distL="0" distR="0">
            <wp:extent cx="5486400" cy="1043940"/>
            <wp:effectExtent l="0" t="0" r="0" b="0"/>
            <wp:docPr id="199" name="图片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9"/>
                    <pic:cNvPicPr>
                      <a:picLocks noChangeAspect="1"/>
                    </pic:cNvPicPr>
                  </pic:nvPicPr>
                  <pic:blipFill>
                    <a:blip r:embed="rId33"/>
                    <a:stretch>
                      <a:fillRect/>
                    </a:stretch>
                  </pic:blipFill>
                  <pic:spPr>
                    <a:xfrm>
                      <a:off x="0" y="0"/>
                      <a:ext cx="5570898" cy="1060459"/>
                    </a:xfrm>
                    <a:prstGeom prst="rect">
                      <a:avLst/>
                    </a:prstGeom>
                  </pic:spPr>
                </pic:pic>
              </a:graphicData>
            </a:graphic>
          </wp:inline>
        </w:drawing>
      </w:r>
    </w:p>
    <w:p>
      <w:pPr>
        <w:ind w:left="425"/>
      </w:pPr>
      <w:r>
        <w:rPr>
          <w:rFonts w:hint="eastAsia"/>
        </w:rPr>
        <w:t>点击“指定中标供应商”，弹出下图，点击“确定供应商”按钮，确定中标单位。</w:t>
      </w:r>
    </w:p>
    <w:p>
      <w:pPr>
        <w:ind w:left="425"/>
      </w:pPr>
      <w:r>
        <w:drawing>
          <wp:inline distT="0" distB="0" distL="0" distR="0">
            <wp:extent cx="5371465" cy="2491105"/>
            <wp:effectExtent l="0" t="0" r="0" b="0"/>
            <wp:docPr id="200" name="图片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200"/>
                    <pic:cNvPicPr>
                      <a:picLocks noChangeAspect="1"/>
                    </pic:cNvPicPr>
                  </pic:nvPicPr>
                  <pic:blipFill>
                    <a:blip r:embed="rId34"/>
                    <a:stretch>
                      <a:fillRect/>
                    </a:stretch>
                  </pic:blipFill>
                  <pic:spPr>
                    <a:xfrm>
                      <a:off x="0" y="0"/>
                      <a:ext cx="5380004" cy="2494968"/>
                    </a:xfrm>
                    <a:prstGeom prst="rect">
                      <a:avLst/>
                    </a:prstGeom>
                  </pic:spPr>
                </pic:pic>
              </a:graphicData>
            </a:graphic>
          </wp:inline>
        </w:drawing>
      </w:r>
    </w:p>
    <w:p>
      <w:pPr>
        <w:ind w:left="425"/>
      </w:pPr>
      <w:r>
        <w:rPr>
          <w:rFonts w:hint="eastAsia"/>
        </w:rPr>
        <w:t>如果是选择协议采购竞价的方式，且商品少于三家报价，需要采购单位重新指定商品</w:t>
      </w:r>
    </w:p>
    <w:p>
      <w:pPr>
        <w:ind w:left="425"/>
      </w:pPr>
      <w:r>
        <w:drawing>
          <wp:inline distT="0" distB="0" distL="0" distR="0">
            <wp:extent cx="3978910" cy="1779905"/>
            <wp:effectExtent l="0" t="0" r="0" b="0"/>
            <wp:docPr id="201" name="图片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201"/>
                    <pic:cNvPicPr>
                      <a:picLocks noChangeAspect="1"/>
                    </pic:cNvPicPr>
                  </pic:nvPicPr>
                  <pic:blipFill>
                    <a:blip r:embed="rId35"/>
                    <a:stretch>
                      <a:fillRect/>
                    </a:stretch>
                  </pic:blipFill>
                  <pic:spPr>
                    <a:xfrm>
                      <a:off x="0" y="0"/>
                      <a:ext cx="3993928" cy="1786944"/>
                    </a:xfrm>
                    <a:prstGeom prst="rect">
                      <a:avLst/>
                    </a:prstGeom>
                  </pic:spPr>
                </pic:pic>
              </a:graphicData>
            </a:graphic>
          </wp:inline>
        </w:drawing>
      </w:r>
    </w:p>
    <w:p>
      <w:pPr>
        <w:ind w:left="425"/>
      </w:pPr>
      <w:r>
        <w:rPr>
          <w:rFonts w:hint="eastAsia"/>
        </w:rPr>
        <w:t>点击“重新指定商品”，进入商品库选择商品。</w:t>
      </w:r>
    </w:p>
    <w:p>
      <w:pPr>
        <w:ind w:left="425"/>
      </w:pPr>
      <w:r>
        <w:drawing>
          <wp:inline distT="0" distB="0" distL="0" distR="0">
            <wp:extent cx="5295900" cy="2201545"/>
            <wp:effectExtent l="0" t="0" r="0" b="0"/>
            <wp:docPr id="203" name="图片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203"/>
                    <pic:cNvPicPr>
                      <a:picLocks noChangeAspect="1"/>
                    </pic:cNvPicPr>
                  </pic:nvPicPr>
                  <pic:blipFill>
                    <a:blip r:embed="rId36"/>
                    <a:stretch>
                      <a:fillRect/>
                    </a:stretch>
                  </pic:blipFill>
                  <pic:spPr>
                    <a:xfrm>
                      <a:off x="0" y="0"/>
                      <a:ext cx="5327927" cy="2215453"/>
                    </a:xfrm>
                    <a:prstGeom prst="rect">
                      <a:avLst/>
                    </a:prstGeom>
                  </pic:spPr>
                </pic:pic>
              </a:graphicData>
            </a:graphic>
          </wp:inline>
        </w:drawing>
      </w:r>
    </w:p>
    <w:p>
      <w:pPr>
        <w:pStyle w:val="2"/>
      </w:pPr>
      <w:bookmarkStart w:id="7" w:name="_Toc501551429"/>
      <w:r>
        <w:rPr>
          <w:rFonts w:hint="eastAsia"/>
        </w:rPr>
        <w:t>合同备案及验收单备案</w:t>
      </w:r>
      <w:bookmarkEnd w:id="7"/>
    </w:p>
    <w:p>
      <w:pPr>
        <w:pStyle w:val="3"/>
      </w:pPr>
      <w:bookmarkStart w:id="8" w:name="_Toc501551431"/>
      <w:r>
        <w:rPr>
          <w:rFonts w:hint="eastAsia"/>
        </w:rPr>
        <w:t>签订协议采购合同</w:t>
      </w:r>
      <w:bookmarkEnd w:id="8"/>
    </w:p>
    <w:p>
      <w:pPr>
        <w:rPr>
          <w:szCs w:val="21"/>
        </w:rPr>
      </w:pPr>
      <w:r>
        <w:rPr>
          <w:rFonts w:hint="eastAsia"/>
          <w:szCs w:val="21"/>
        </w:rPr>
        <w:t>针对协议采购项目，该菜单下面可以看到协议供应商提交过来需要审核的合同，可以点击查看进去进行审核，不符合要求的话也可以进行退回到供应商处，让他们重新编辑提交。</w:t>
      </w:r>
      <w:r>
        <w:rPr>
          <w:rFonts w:hint="eastAsia"/>
          <w:b/>
          <w:color w:val="FF0000"/>
          <w:szCs w:val="21"/>
        </w:rPr>
        <w:t>协议采购合同由中标供应商发起，下级预算单位负责审核。</w:t>
      </w:r>
    </w:p>
    <w:p>
      <w:pPr>
        <w:widowControl/>
        <w:jc w:val="left"/>
        <w:rPr>
          <w:rFonts w:ascii="宋体" w:hAnsi="宋体" w:cs="宋体"/>
          <w:b/>
          <w:kern w:val="0"/>
          <w:sz w:val="24"/>
        </w:rPr>
      </w:pPr>
      <w:r>
        <w:drawing>
          <wp:inline distT="0" distB="0" distL="0" distR="0">
            <wp:extent cx="5539105" cy="184086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37"/>
                    <a:stretch>
                      <a:fillRect/>
                    </a:stretch>
                  </pic:blipFill>
                  <pic:spPr>
                    <a:xfrm>
                      <a:off x="0" y="0"/>
                      <a:ext cx="5561417" cy="1848360"/>
                    </a:xfrm>
                    <a:prstGeom prst="rect">
                      <a:avLst/>
                    </a:prstGeom>
                  </pic:spPr>
                </pic:pic>
              </a:graphicData>
            </a:graphic>
          </wp:inline>
        </w:drawing>
      </w:r>
    </w:p>
    <w:p>
      <w:pPr>
        <w:rPr>
          <w:sz w:val="24"/>
        </w:rPr>
      </w:pPr>
    </w:p>
    <w:p>
      <w:pPr>
        <w:pStyle w:val="3"/>
      </w:pPr>
      <w:bookmarkStart w:id="9" w:name="_Toc501551432"/>
      <w:r>
        <w:rPr>
          <w:rFonts w:hint="eastAsia"/>
          <w:lang w:eastAsia="zh-CN"/>
        </w:rPr>
        <w:t>发票上传</w:t>
      </w:r>
    </w:p>
    <w:p>
      <w:pPr>
        <w:rPr>
          <w:rFonts w:hint="eastAsia" w:eastAsia="宋体"/>
          <w:lang w:eastAsia="zh-CN"/>
        </w:rPr>
      </w:pPr>
      <w:r>
        <w:rPr>
          <w:rFonts w:hint="eastAsia"/>
          <w:lang w:eastAsia="zh-CN"/>
        </w:rPr>
        <w:t>合同备案审核之后，中标供应商可进行发票上传，供应商新增时选择条目进行发起，上传之后提交给采购预算单位审核</w:t>
      </w:r>
      <w:bookmarkStart w:id="10" w:name="_GoBack"/>
      <w:bookmarkEnd w:id="10"/>
      <w:r>
        <w:rPr>
          <w:rFonts w:hint="eastAsia"/>
          <w:lang w:eastAsia="zh-CN"/>
        </w:rPr>
        <w:t>。</w:t>
      </w:r>
    </w:p>
    <w:p>
      <w:r>
        <w:drawing>
          <wp:inline distT="0" distB="0" distL="114300" distR="114300">
            <wp:extent cx="5725160" cy="1713865"/>
            <wp:effectExtent l="0" t="0" r="8890" b="63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38"/>
                    <a:stretch>
                      <a:fillRect/>
                    </a:stretch>
                  </pic:blipFill>
                  <pic:spPr>
                    <a:xfrm>
                      <a:off x="0" y="0"/>
                      <a:ext cx="5725160" cy="1713865"/>
                    </a:xfrm>
                    <a:prstGeom prst="rect">
                      <a:avLst/>
                    </a:prstGeom>
                    <a:noFill/>
                    <a:ln>
                      <a:noFill/>
                    </a:ln>
                  </pic:spPr>
                </pic:pic>
              </a:graphicData>
            </a:graphic>
          </wp:inline>
        </w:drawing>
      </w:r>
    </w:p>
    <w:p>
      <w:pPr>
        <w:pStyle w:val="3"/>
      </w:pPr>
      <w:r>
        <w:rPr>
          <w:rFonts w:hint="eastAsia"/>
          <w:lang w:eastAsia="zh-CN"/>
        </w:rPr>
        <w:t>发票审核</w:t>
      </w:r>
    </w:p>
    <w:p>
      <w:r>
        <w:rPr>
          <w:rFonts w:hint="eastAsia"/>
          <w:lang w:eastAsia="zh-CN"/>
        </w:rPr>
        <w:t>发票审核为新协议采购专用功能，由供应商发起，采购预算单位审核。</w:t>
      </w:r>
    </w:p>
    <w:p>
      <w:r>
        <w:drawing>
          <wp:inline distT="0" distB="0" distL="114300" distR="114300">
            <wp:extent cx="5726430" cy="2068195"/>
            <wp:effectExtent l="0" t="0" r="7620" b="8255"/>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39"/>
                    <a:stretch>
                      <a:fillRect/>
                    </a:stretch>
                  </pic:blipFill>
                  <pic:spPr>
                    <a:xfrm>
                      <a:off x="0" y="0"/>
                      <a:ext cx="5726430" cy="2068195"/>
                    </a:xfrm>
                    <a:prstGeom prst="rect">
                      <a:avLst/>
                    </a:prstGeom>
                    <a:noFill/>
                    <a:ln>
                      <a:noFill/>
                    </a:ln>
                  </pic:spPr>
                </pic:pic>
              </a:graphicData>
            </a:graphic>
          </wp:inline>
        </w:drawing>
      </w:r>
    </w:p>
    <w:p>
      <w:pPr>
        <w:pStyle w:val="3"/>
      </w:pPr>
      <w:r>
        <w:rPr>
          <w:rFonts w:hint="eastAsia"/>
        </w:rPr>
        <w:t>验收单</w:t>
      </w:r>
      <w:bookmarkEnd w:id="9"/>
    </w:p>
    <w:p>
      <w:r>
        <w:rPr>
          <w:rFonts w:hint="eastAsia"/>
        </w:rPr>
        <w:t>进入菜单“合同备案与验收—验收单”，如下图</w:t>
      </w:r>
    </w:p>
    <w:p>
      <w:pPr>
        <w:widowControl/>
        <w:jc w:val="left"/>
        <w:rPr>
          <w:rFonts w:ascii="宋体" w:hAnsi="宋体" w:cs="宋体"/>
          <w:kern w:val="0"/>
          <w:sz w:val="24"/>
        </w:rPr>
      </w:pPr>
      <w:r>
        <w:drawing>
          <wp:inline distT="0" distB="0" distL="0" distR="0">
            <wp:extent cx="5681980" cy="1884045"/>
            <wp:effectExtent l="0" t="0" r="0" b="0"/>
            <wp:docPr id="57"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pic:cNvPicPr>
                      <a:picLocks noChangeAspect="1"/>
                    </pic:cNvPicPr>
                  </pic:nvPicPr>
                  <pic:blipFill>
                    <a:blip r:embed="rId40"/>
                    <a:stretch>
                      <a:fillRect/>
                    </a:stretch>
                  </pic:blipFill>
                  <pic:spPr>
                    <a:xfrm>
                      <a:off x="0" y="0"/>
                      <a:ext cx="5709481" cy="1893480"/>
                    </a:xfrm>
                    <a:prstGeom prst="rect">
                      <a:avLst/>
                    </a:prstGeom>
                  </pic:spPr>
                </pic:pic>
              </a:graphicData>
            </a:graphic>
          </wp:inline>
        </w:drawing>
      </w:r>
    </w:p>
    <w:p>
      <w:pPr>
        <w:rPr>
          <w:sz w:val="24"/>
        </w:rPr>
      </w:pPr>
      <w:r>
        <w:rPr>
          <w:rFonts w:hint="eastAsia"/>
          <w:sz w:val="24"/>
        </w:rPr>
        <w:t>下级预算单位或者主管预算单位可以点击左上“新增验收单”按钮，在跳出的页面中选择未进行验收的项目，完善验收单信息后，可直接完成备案操作。</w:t>
      </w:r>
    </w:p>
    <w:p>
      <w:pPr>
        <w:rPr>
          <w:b/>
          <w:color w:val="FF0000"/>
          <w:sz w:val="24"/>
        </w:rPr>
      </w:pPr>
      <w:r>
        <w:rPr>
          <w:rFonts w:hint="eastAsia"/>
          <w:b/>
          <w:color w:val="FF0000"/>
          <w:sz w:val="24"/>
        </w:rPr>
        <w:t>验收单由预算单位直接新增备案即可，无需审核。</w:t>
      </w:r>
    </w:p>
    <w:p/>
    <w:sectPr>
      <w:headerReference r:id="rId5" w:type="first"/>
      <w:footerReference r:id="rId7" w:type="first"/>
      <w:headerReference r:id="rId3" w:type="default"/>
      <w:footerReference r:id="rId6" w:type="default"/>
      <w:headerReference r:id="rId4" w:type="even"/>
      <w:pgSz w:w="11906" w:h="16838"/>
      <w:pgMar w:top="2880" w:right="1440" w:bottom="288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rPr>
        <w:caps/>
        <w:color w:val="000000" w:themeColor="text1"/>
      </w:rPr>
    </w:pPr>
    <w:r>
      <w:rPr>
        <w:caps/>
        <w:color w:val="000000" w:themeColor="text1"/>
      </w:rPr>
      <w:fldChar w:fldCharType="begin"/>
    </w:r>
    <w:r>
      <w:rPr>
        <w:caps/>
        <w:color w:val="000000" w:themeColor="text1"/>
      </w:rPr>
      <w:instrText xml:space="preserve">PAGE   \* MERGEFORMAT</w:instrText>
    </w:r>
    <w:r>
      <w:rPr>
        <w:caps/>
        <w:color w:val="000000" w:themeColor="text1"/>
      </w:rPr>
      <w:fldChar w:fldCharType="separate"/>
    </w:r>
    <w:r>
      <w:rPr>
        <w:caps/>
        <w:color w:val="000000" w:themeColor="text1"/>
        <w:lang w:val="zh-CN"/>
      </w:rPr>
      <w:t>1</w:t>
    </w:r>
    <w:r>
      <w:rPr>
        <w:caps/>
        <w:color w:val="000000" w:themeColor="text1"/>
      </w:rPr>
      <w:fldChar w:fldCharType="end"/>
    </w:r>
  </w:p>
  <w:p>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rPr>
        <w:b/>
        <w:sz w:val="24"/>
        <w:szCs w:val="24"/>
      </w:rPr>
    </w:pPr>
    <w:r>
      <w:rPr>
        <w:rFonts w:hint="eastAsia"/>
        <w:b/>
        <w:sz w:val="24"/>
        <w:szCs w:val="24"/>
      </w:rPr>
      <w:t>江苏国泰新点软件有限公司</w:t>
    </w:r>
  </w:p>
  <w:p>
    <w:pPr>
      <w:pStyle w:val="20"/>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both"/>
    </w:pPr>
  </w:p>
  <w:p>
    <w:pPr>
      <w:pStyle w:val="21"/>
      <w:ind w:firstLine="1080" w:firstLineChars="600"/>
      <w:jc w:val="both"/>
    </w:pPr>
  </w:p>
  <w:p>
    <w:pPr>
      <w:pStyle w:val="21"/>
      <w:ind w:firstLine="1080" w:firstLineChars="600"/>
      <w:jc w:val="both"/>
    </w:pPr>
  </w:p>
  <w:p>
    <w:pPr>
      <w:pStyle w:val="21"/>
      <w:ind w:firstLine="1080" w:firstLineChars="600"/>
      <w:jc w:val="both"/>
    </w:pPr>
  </w:p>
  <w:p>
    <w:pPr>
      <w:pStyle w:val="21"/>
      <w:ind w:firstLine="1080" w:firstLineChars="600"/>
      <w:jc w:val="both"/>
    </w:pPr>
  </w:p>
  <w:p>
    <w:pPr>
      <w:pStyle w:val="21"/>
      <w:ind w:firstLine="1080" w:firstLineChars="600"/>
      <w:jc w:val="both"/>
    </w:pPr>
  </w:p>
  <w:p>
    <w:pPr>
      <w:pStyle w:val="21"/>
      <w:ind w:firstLine="1080" w:firstLineChars="600"/>
      <w:jc w:val="both"/>
    </w:pPr>
  </w:p>
  <w:p>
    <w:pPr>
      <w:pStyle w:val="21"/>
      <w:ind w:firstLine="1080" w:firstLineChars="600"/>
      <w:jc w:val="both"/>
    </w:pPr>
    <w:r>
      <w:rPr>
        <w:rFonts w:hint="eastAsia"/>
      </w:rPr>
      <w:t>江西省公共资源电子交易服务平台政府采购子系统－采购</w:t>
    </w:r>
    <w:r>
      <w:t>单位</w:t>
    </w:r>
    <w:r>
      <w:rPr>
        <w:rFonts w:hint="eastAsia"/>
      </w:rPr>
      <w:t>操作手册</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right" w:y="1"/>
      <w:rPr>
        <w:rStyle w:val="32"/>
      </w:rPr>
    </w:pPr>
    <w:r>
      <w:fldChar w:fldCharType="begin"/>
    </w:r>
    <w:r>
      <w:rPr>
        <w:rStyle w:val="32"/>
      </w:rPr>
      <w:instrText xml:space="preserve">PAGE  </w:instrText>
    </w:r>
    <w:r>
      <w:fldChar w:fldCharType="end"/>
    </w:r>
  </w:p>
  <w:p>
    <w:pPr>
      <w:pStyle w:val="21"/>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8752352"/>
      <w:placeholder>
        <w:docPart w:val="10792C1D70804ECE811E0A9CF92C5DF2"/>
      </w:placeholder>
      <w:temporary/>
      <w:showingPlcHdr/>
      <w15:appearance w15:val="hidden"/>
    </w:sdtPr>
    <w:sdtContent>
      <w:p>
        <w:pPr>
          <w:pStyle w:val="21"/>
        </w:pPr>
        <w:r>
          <w:rPr>
            <w:lang w:val="zh-CN"/>
          </w:rPr>
          <w:t>[在此处键入]</w:t>
        </w:r>
      </w:p>
    </w:sdtContent>
  </w:sdt>
  <w:p>
    <w:pPr>
      <w:pStyle w:val="2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902E505"/>
    <w:multiLevelType w:val="singleLevel"/>
    <w:tmpl w:val="A902E505"/>
    <w:lvl w:ilvl="0" w:tentative="0">
      <w:start w:val="1"/>
      <w:numFmt w:val="decimal"/>
      <w:suff w:val="nothing"/>
      <w:lvlText w:val="（%1）"/>
      <w:lvlJc w:val="left"/>
    </w:lvl>
  </w:abstractNum>
  <w:abstractNum w:abstractNumId="1">
    <w:nsid w:val="0000000C"/>
    <w:multiLevelType w:val="multilevel"/>
    <w:tmpl w:val="0000000C"/>
    <w:lvl w:ilvl="0" w:tentative="0">
      <w:start w:val="1"/>
      <w:numFmt w:val="decimal"/>
      <w:pStyle w:val="2"/>
      <w:lvlText w:val="%1."/>
      <w:lvlJc w:val="left"/>
      <w:pPr>
        <w:tabs>
          <w:tab w:val="left" w:pos="425"/>
        </w:tabs>
        <w:ind w:left="425" w:hanging="425"/>
      </w:pPr>
      <w:rPr>
        <w:rFonts w:ascii="Times New Roman" w:hAnsi="Times New Roman" w:cs="Times New Roman"/>
        <w:b w:val="0"/>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1" w:tentative="0">
      <w:start w:val="1"/>
      <w:numFmt w:val="decimal"/>
      <w:pStyle w:val="3"/>
      <w:lvlText w:val="%1.%2."/>
      <w:lvlJc w:val="left"/>
      <w:pPr>
        <w:tabs>
          <w:tab w:val="left" w:pos="851"/>
        </w:tabs>
        <w:ind w:left="851" w:hanging="567"/>
      </w:pPr>
      <w:rPr>
        <w:rFonts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 w:val="30"/>
        <w:szCs w:val="30"/>
        <w:u w:val="none"/>
        <w:vertAlign w:val="baseline"/>
      </w:rPr>
    </w:lvl>
    <w:lvl w:ilvl="2" w:tentative="0">
      <w:start w:val="1"/>
      <w:numFmt w:val="decimal"/>
      <w:pStyle w:val="4"/>
      <w:lvlText w:val="%1.%2.%3."/>
      <w:lvlJc w:val="left"/>
      <w:pPr>
        <w:tabs>
          <w:tab w:val="left" w:pos="709"/>
        </w:tabs>
        <w:ind w:left="709" w:hanging="709"/>
      </w:pPr>
    </w:lvl>
    <w:lvl w:ilvl="3" w:tentative="0">
      <w:start w:val="1"/>
      <w:numFmt w:val="decimal"/>
      <w:pStyle w:val="5"/>
      <w:lvlText w:val="%1.%2.%3.%4."/>
      <w:lvlJc w:val="left"/>
      <w:pPr>
        <w:tabs>
          <w:tab w:val="left" w:pos="851"/>
        </w:tabs>
        <w:ind w:left="851" w:hanging="851"/>
      </w:pPr>
    </w:lvl>
    <w:lvl w:ilvl="4" w:tentative="0">
      <w:start w:val="1"/>
      <w:numFmt w:val="decimal"/>
      <w:pStyle w:val="6"/>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2">
    <w:nsid w:val="25F562C4"/>
    <w:multiLevelType w:val="multilevel"/>
    <w:tmpl w:val="25F562C4"/>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1177B"/>
    <w:rsid w:val="00020E00"/>
    <w:rsid w:val="0002676D"/>
    <w:rsid w:val="00026EC5"/>
    <w:rsid w:val="00041295"/>
    <w:rsid w:val="000922C5"/>
    <w:rsid w:val="00096349"/>
    <w:rsid w:val="00097AA4"/>
    <w:rsid w:val="000A5412"/>
    <w:rsid w:val="000C1B4D"/>
    <w:rsid w:val="000D044F"/>
    <w:rsid w:val="000D6081"/>
    <w:rsid w:val="000E1E3C"/>
    <w:rsid w:val="000E2DC0"/>
    <w:rsid w:val="000F219B"/>
    <w:rsid w:val="000F21D4"/>
    <w:rsid w:val="000F6E7B"/>
    <w:rsid w:val="00111F16"/>
    <w:rsid w:val="00114004"/>
    <w:rsid w:val="00121D99"/>
    <w:rsid w:val="00123A16"/>
    <w:rsid w:val="00125660"/>
    <w:rsid w:val="0013469A"/>
    <w:rsid w:val="00134C29"/>
    <w:rsid w:val="001374B1"/>
    <w:rsid w:val="001427CB"/>
    <w:rsid w:val="00147849"/>
    <w:rsid w:val="00150A59"/>
    <w:rsid w:val="00161DB4"/>
    <w:rsid w:val="001638B2"/>
    <w:rsid w:val="00163D59"/>
    <w:rsid w:val="001666AC"/>
    <w:rsid w:val="00167AAC"/>
    <w:rsid w:val="00172600"/>
    <w:rsid w:val="00172A27"/>
    <w:rsid w:val="001857DF"/>
    <w:rsid w:val="0019128B"/>
    <w:rsid w:val="001A1159"/>
    <w:rsid w:val="001A58DA"/>
    <w:rsid w:val="001B38E5"/>
    <w:rsid w:val="001B3B31"/>
    <w:rsid w:val="001D6AB4"/>
    <w:rsid w:val="001E2551"/>
    <w:rsid w:val="001E5F15"/>
    <w:rsid w:val="002122F0"/>
    <w:rsid w:val="00214175"/>
    <w:rsid w:val="00214316"/>
    <w:rsid w:val="0022740D"/>
    <w:rsid w:val="00230174"/>
    <w:rsid w:val="00231982"/>
    <w:rsid w:val="002342FE"/>
    <w:rsid w:val="00235B08"/>
    <w:rsid w:val="00235F7C"/>
    <w:rsid w:val="00244493"/>
    <w:rsid w:val="00246896"/>
    <w:rsid w:val="00251DCD"/>
    <w:rsid w:val="0026432C"/>
    <w:rsid w:val="00267C53"/>
    <w:rsid w:val="0027131F"/>
    <w:rsid w:val="0027283E"/>
    <w:rsid w:val="00275CAD"/>
    <w:rsid w:val="00277B7B"/>
    <w:rsid w:val="0028783E"/>
    <w:rsid w:val="00287F27"/>
    <w:rsid w:val="002A60C8"/>
    <w:rsid w:val="002A771C"/>
    <w:rsid w:val="002E47C6"/>
    <w:rsid w:val="002E78AD"/>
    <w:rsid w:val="0030300C"/>
    <w:rsid w:val="003043ED"/>
    <w:rsid w:val="0030453E"/>
    <w:rsid w:val="00306B9E"/>
    <w:rsid w:val="003112D3"/>
    <w:rsid w:val="00317854"/>
    <w:rsid w:val="00325145"/>
    <w:rsid w:val="003324E3"/>
    <w:rsid w:val="00335D02"/>
    <w:rsid w:val="003407E9"/>
    <w:rsid w:val="0034173D"/>
    <w:rsid w:val="00342DBD"/>
    <w:rsid w:val="00344EF4"/>
    <w:rsid w:val="00362965"/>
    <w:rsid w:val="0037156B"/>
    <w:rsid w:val="00373963"/>
    <w:rsid w:val="00375B38"/>
    <w:rsid w:val="00377733"/>
    <w:rsid w:val="00382158"/>
    <w:rsid w:val="003902B2"/>
    <w:rsid w:val="00393B5C"/>
    <w:rsid w:val="003A6B69"/>
    <w:rsid w:val="003B1615"/>
    <w:rsid w:val="003B55BA"/>
    <w:rsid w:val="003D25EB"/>
    <w:rsid w:val="003D2DF4"/>
    <w:rsid w:val="003D36B0"/>
    <w:rsid w:val="003D63DB"/>
    <w:rsid w:val="003F5AA0"/>
    <w:rsid w:val="003F5CE6"/>
    <w:rsid w:val="00401871"/>
    <w:rsid w:val="004061C7"/>
    <w:rsid w:val="0041696A"/>
    <w:rsid w:val="00434C8A"/>
    <w:rsid w:val="00443E97"/>
    <w:rsid w:val="00444135"/>
    <w:rsid w:val="004469CF"/>
    <w:rsid w:val="00450093"/>
    <w:rsid w:val="00451A56"/>
    <w:rsid w:val="004672CB"/>
    <w:rsid w:val="00473C0A"/>
    <w:rsid w:val="004847D6"/>
    <w:rsid w:val="004872B4"/>
    <w:rsid w:val="00496AB6"/>
    <w:rsid w:val="004A6F72"/>
    <w:rsid w:val="004A700A"/>
    <w:rsid w:val="004B35CB"/>
    <w:rsid w:val="004C13AC"/>
    <w:rsid w:val="004C2856"/>
    <w:rsid w:val="004C4E46"/>
    <w:rsid w:val="004C60D3"/>
    <w:rsid w:val="004C7651"/>
    <w:rsid w:val="004D2958"/>
    <w:rsid w:val="004D66CD"/>
    <w:rsid w:val="004D712A"/>
    <w:rsid w:val="004E33D5"/>
    <w:rsid w:val="004E5FE4"/>
    <w:rsid w:val="004F5356"/>
    <w:rsid w:val="004F65C6"/>
    <w:rsid w:val="00514327"/>
    <w:rsid w:val="00514A44"/>
    <w:rsid w:val="0052338D"/>
    <w:rsid w:val="005337BC"/>
    <w:rsid w:val="00541C14"/>
    <w:rsid w:val="0055119E"/>
    <w:rsid w:val="00551D3A"/>
    <w:rsid w:val="00571399"/>
    <w:rsid w:val="005737A7"/>
    <w:rsid w:val="00574C52"/>
    <w:rsid w:val="00586E76"/>
    <w:rsid w:val="00590DC8"/>
    <w:rsid w:val="00591514"/>
    <w:rsid w:val="005920D7"/>
    <w:rsid w:val="00593F13"/>
    <w:rsid w:val="00596611"/>
    <w:rsid w:val="00597628"/>
    <w:rsid w:val="005A0DDC"/>
    <w:rsid w:val="005A56D9"/>
    <w:rsid w:val="005B2531"/>
    <w:rsid w:val="005B55C1"/>
    <w:rsid w:val="005D1FBD"/>
    <w:rsid w:val="005D784B"/>
    <w:rsid w:val="005E24C2"/>
    <w:rsid w:val="0060331A"/>
    <w:rsid w:val="0060363A"/>
    <w:rsid w:val="00611A0D"/>
    <w:rsid w:val="00623967"/>
    <w:rsid w:val="00623EFB"/>
    <w:rsid w:val="00626F7D"/>
    <w:rsid w:val="006362B8"/>
    <w:rsid w:val="00644CBC"/>
    <w:rsid w:val="00650475"/>
    <w:rsid w:val="00654601"/>
    <w:rsid w:val="006615D7"/>
    <w:rsid w:val="00664A4F"/>
    <w:rsid w:val="00665BB4"/>
    <w:rsid w:val="00670855"/>
    <w:rsid w:val="006825B8"/>
    <w:rsid w:val="006840A3"/>
    <w:rsid w:val="00684A87"/>
    <w:rsid w:val="00686337"/>
    <w:rsid w:val="00692B8A"/>
    <w:rsid w:val="006938F4"/>
    <w:rsid w:val="00694199"/>
    <w:rsid w:val="006A0795"/>
    <w:rsid w:val="006A142E"/>
    <w:rsid w:val="006A3297"/>
    <w:rsid w:val="006A6603"/>
    <w:rsid w:val="006B5FFF"/>
    <w:rsid w:val="006B67FB"/>
    <w:rsid w:val="006C7DB9"/>
    <w:rsid w:val="006D3861"/>
    <w:rsid w:val="006D4F6E"/>
    <w:rsid w:val="006E0346"/>
    <w:rsid w:val="006E754E"/>
    <w:rsid w:val="006F2E75"/>
    <w:rsid w:val="006F551E"/>
    <w:rsid w:val="006F674B"/>
    <w:rsid w:val="00703619"/>
    <w:rsid w:val="0071459E"/>
    <w:rsid w:val="007169CE"/>
    <w:rsid w:val="0071712A"/>
    <w:rsid w:val="00720F4D"/>
    <w:rsid w:val="00722B21"/>
    <w:rsid w:val="00730072"/>
    <w:rsid w:val="00731B36"/>
    <w:rsid w:val="00737265"/>
    <w:rsid w:val="00745E2E"/>
    <w:rsid w:val="007467BD"/>
    <w:rsid w:val="007511AC"/>
    <w:rsid w:val="007518F7"/>
    <w:rsid w:val="00751BAC"/>
    <w:rsid w:val="007535E6"/>
    <w:rsid w:val="00776C05"/>
    <w:rsid w:val="007858D0"/>
    <w:rsid w:val="007859CF"/>
    <w:rsid w:val="00792A5F"/>
    <w:rsid w:val="007B0B42"/>
    <w:rsid w:val="007B4CC0"/>
    <w:rsid w:val="007B7262"/>
    <w:rsid w:val="007C1275"/>
    <w:rsid w:val="007C3332"/>
    <w:rsid w:val="007E2AAC"/>
    <w:rsid w:val="007E3EA7"/>
    <w:rsid w:val="007F05BA"/>
    <w:rsid w:val="007F29AC"/>
    <w:rsid w:val="00806FC1"/>
    <w:rsid w:val="008121BF"/>
    <w:rsid w:val="008133C8"/>
    <w:rsid w:val="008211F0"/>
    <w:rsid w:val="00822F7B"/>
    <w:rsid w:val="0083086C"/>
    <w:rsid w:val="008412D0"/>
    <w:rsid w:val="0084443A"/>
    <w:rsid w:val="008632B2"/>
    <w:rsid w:val="008903D2"/>
    <w:rsid w:val="0089199C"/>
    <w:rsid w:val="00893D60"/>
    <w:rsid w:val="008947AD"/>
    <w:rsid w:val="00897BC2"/>
    <w:rsid w:val="008A0650"/>
    <w:rsid w:val="008A169A"/>
    <w:rsid w:val="008A369B"/>
    <w:rsid w:val="008A6B52"/>
    <w:rsid w:val="008C3EC6"/>
    <w:rsid w:val="008C4DC2"/>
    <w:rsid w:val="008C7796"/>
    <w:rsid w:val="008D0F41"/>
    <w:rsid w:val="008D10D9"/>
    <w:rsid w:val="008D36AE"/>
    <w:rsid w:val="008E1C45"/>
    <w:rsid w:val="008E2249"/>
    <w:rsid w:val="008E566E"/>
    <w:rsid w:val="00900EE7"/>
    <w:rsid w:val="00901592"/>
    <w:rsid w:val="00905CBB"/>
    <w:rsid w:val="0091413C"/>
    <w:rsid w:val="00915598"/>
    <w:rsid w:val="009245EB"/>
    <w:rsid w:val="00926A16"/>
    <w:rsid w:val="00931485"/>
    <w:rsid w:val="00935AF8"/>
    <w:rsid w:val="00936C3A"/>
    <w:rsid w:val="00950794"/>
    <w:rsid w:val="00950FB0"/>
    <w:rsid w:val="00954A57"/>
    <w:rsid w:val="00961D3D"/>
    <w:rsid w:val="00986AB5"/>
    <w:rsid w:val="009A1D1D"/>
    <w:rsid w:val="009C6E48"/>
    <w:rsid w:val="009D2778"/>
    <w:rsid w:val="009D6E0C"/>
    <w:rsid w:val="009E0BC3"/>
    <w:rsid w:val="009E67E5"/>
    <w:rsid w:val="00A0084A"/>
    <w:rsid w:val="00A100B4"/>
    <w:rsid w:val="00A10C47"/>
    <w:rsid w:val="00A20DCD"/>
    <w:rsid w:val="00A2507E"/>
    <w:rsid w:val="00A31228"/>
    <w:rsid w:val="00A33E7A"/>
    <w:rsid w:val="00A34221"/>
    <w:rsid w:val="00A35809"/>
    <w:rsid w:val="00A40DD9"/>
    <w:rsid w:val="00A56418"/>
    <w:rsid w:val="00A56814"/>
    <w:rsid w:val="00A5731D"/>
    <w:rsid w:val="00A573A1"/>
    <w:rsid w:val="00A60463"/>
    <w:rsid w:val="00A640D3"/>
    <w:rsid w:val="00A64F20"/>
    <w:rsid w:val="00A70D88"/>
    <w:rsid w:val="00A71338"/>
    <w:rsid w:val="00A76107"/>
    <w:rsid w:val="00A80427"/>
    <w:rsid w:val="00AA489E"/>
    <w:rsid w:val="00AB0930"/>
    <w:rsid w:val="00AC1EAC"/>
    <w:rsid w:val="00AD218E"/>
    <w:rsid w:val="00AE0DF7"/>
    <w:rsid w:val="00AE2F01"/>
    <w:rsid w:val="00AE6D22"/>
    <w:rsid w:val="00B152AF"/>
    <w:rsid w:val="00B174F0"/>
    <w:rsid w:val="00B317D9"/>
    <w:rsid w:val="00B33343"/>
    <w:rsid w:val="00B44564"/>
    <w:rsid w:val="00B54DF5"/>
    <w:rsid w:val="00B660F1"/>
    <w:rsid w:val="00B67F20"/>
    <w:rsid w:val="00B77879"/>
    <w:rsid w:val="00B82CEE"/>
    <w:rsid w:val="00B851E3"/>
    <w:rsid w:val="00B85DC7"/>
    <w:rsid w:val="00BA1819"/>
    <w:rsid w:val="00BB0707"/>
    <w:rsid w:val="00BB2A22"/>
    <w:rsid w:val="00BB6626"/>
    <w:rsid w:val="00BC457E"/>
    <w:rsid w:val="00BE2521"/>
    <w:rsid w:val="00BF63B3"/>
    <w:rsid w:val="00C06498"/>
    <w:rsid w:val="00C20E02"/>
    <w:rsid w:val="00C415A5"/>
    <w:rsid w:val="00C4312A"/>
    <w:rsid w:val="00C545A3"/>
    <w:rsid w:val="00C61871"/>
    <w:rsid w:val="00C67ACB"/>
    <w:rsid w:val="00C67D8C"/>
    <w:rsid w:val="00C80EC6"/>
    <w:rsid w:val="00C87211"/>
    <w:rsid w:val="00C910B7"/>
    <w:rsid w:val="00C916A3"/>
    <w:rsid w:val="00C95C6E"/>
    <w:rsid w:val="00CB6898"/>
    <w:rsid w:val="00CC4A23"/>
    <w:rsid w:val="00CD054E"/>
    <w:rsid w:val="00CE2A0B"/>
    <w:rsid w:val="00CE3C01"/>
    <w:rsid w:val="00CE4722"/>
    <w:rsid w:val="00CE5450"/>
    <w:rsid w:val="00CF5691"/>
    <w:rsid w:val="00D101C2"/>
    <w:rsid w:val="00D134B3"/>
    <w:rsid w:val="00D31313"/>
    <w:rsid w:val="00D3410E"/>
    <w:rsid w:val="00D46056"/>
    <w:rsid w:val="00D502BA"/>
    <w:rsid w:val="00D537B2"/>
    <w:rsid w:val="00D6174D"/>
    <w:rsid w:val="00D673A2"/>
    <w:rsid w:val="00D774BF"/>
    <w:rsid w:val="00D9273C"/>
    <w:rsid w:val="00DA2BD9"/>
    <w:rsid w:val="00DA2E3E"/>
    <w:rsid w:val="00DB0E70"/>
    <w:rsid w:val="00DB186D"/>
    <w:rsid w:val="00DB33C9"/>
    <w:rsid w:val="00DB5677"/>
    <w:rsid w:val="00DB6CBE"/>
    <w:rsid w:val="00DC1661"/>
    <w:rsid w:val="00DC2757"/>
    <w:rsid w:val="00DC27EB"/>
    <w:rsid w:val="00DC5A44"/>
    <w:rsid w:val="00DE0D1A"/>
    <w:rsid w:val="00DE7FAC"/>
    <w:rsid w:val="00DF3199"/>
    <w:rsid w:val="00E075C2"/>
    <w:rsid w:val="00E10B5C"/>
    <w:rsid w:val="00E259CA"/>
    <w:rsid w:val="00E313B4"/>
    <w:rsid w:val="00E32657"/>
    <w:rsid w:val="00E40566"/>
    <w:rsid w:val="00E462E5"/>
    <w:rsid w:val="00E52107"/>
    <w:rsid w:val="00E53535"/>
    <w:rsid w:val="00E57650"/>
    <w:rsid w:val="00E669FF"/>
    <w:rsid w:val="00E7308F"/>
    <w:rsid w:val="00E7418A"/>
    <w:rsid w:val="00E81B41"/>
    <w:rsid w:val="00E8561B"/>
    <w:rsid w:val="00E91371"/>
    <w:rsid w:val="00EA39A2"/>
    <w:rsid w:val="00EA56C8"/>
    <w:rsid w:val="00EB0BB2"/>
    <w:rsid w:val="00EB16EF"/>
    <w:rsid w:val="00EC4C9F"/>
    <w:rsid w:val="00ED06A1"/>
    <w:rsid w:val="00ED1F47"/>
    <w:rsid w:val="00F01626"/>
    <w:rsid w:val="00F02E5C"/>
    <w:rsid w:val="00F05CF8"/>
    <w:rsid w:val="00F56F74"/>
    <w:rsid w:val="00F75880"/>
    <w:rsid w:val="00F840F8"/>
    <w:rsid w:val="00F90386"/>
    <w:rsid w:val="00F90468"/>
    <w:rsid w:val="00F92138"/>
    <w:rsid w:val="00FA022C"/>
    <w:rsid w:val="00FA0B84"/>
    <w:rsid w:val="00FB1FA6"/>
    <w:rsid w:val="00FC2DD2"/>
    <w:rsid w:val="00FC69FC"/>
    <w:rsid w:val="00FD26E5"/>
    <w:rsid w:val="00FD77F9"/>
    <w:rsid w:val="00FE3748"/>
    <w:rsid w:val="00FE68D9"/>
    <w:rsid w:val="00FF07F9"/>
    <w:rsid w:val="00FF18B5"/>
    <w:rsid w:val="00FF5350"/>
    <w:rsid w:val="01EC1C2E"/>
    <w:rsid w:val="067D45CF"/>
    <w:rsid w:val="07F517B5"/>
    <w:rsid w:val="13447EDA"/>
    <w:rsid w:val="19EA42E7"/>
    <w:rsid w:val="1A0F398C"/>
    <w:rsid w:val="1D396F76"/>
    <w:rsid w:val="1DE7714C"/>
    <w:rsid w:val="2246542F"/>
    <w:rsid w:val="26E77A2A"/>
    <w:rsid w:val="36D0590F"/>
    <w:rsid w:val="3C126F09"/>
    <w:rsid w:val="42C34FE8"/>
    <w:rsid w:val="4ABE16A5"/>
    <w:rsid w:val="4D701B80"/>
    <w:rsid w:val="51D914E4"/>
    <w:rsid w:val="56002879"/>
    <w:rsid w:val="56E5566D"/>
    <w:rsid w:val="59764CDF"/>
    <w:rsid w:val="607C5AA8"/>
    <w:rsid w:val="60EE157C"/>
    <w:rsid w:val="6BEF5657"/>
    <w:rsid w:val="6CAE09E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qFormat="1" w:unhideWhenUsed="0" w:uiPriority="0" w:semiHidden="0"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after="330" w:line="576" w:lineRule="auto"/>
      <w:outlineLvl w:val="0"/>
    </w:pPr>
    <w:rPr>
      <w:rFonts w:ascii="Arial" w:hAnsi="Arial"/>
      <w:b/>
      <w:bCs/>
      <w:kern w:val="44"/>
      <w:sz w:val="32"/>
      <w:szCs w:val="28"/>
    </w:rPr>
  </w:style>
  <w:style w:type="paragraph" w:styleId="3">
    <w:name w:val="heading 2"/>
    <w:basedOn w:val="1"/>
    <w:next w:val="1"/>
    <w:link w:val="45"/>
    <w:qFormat/>
    <w:uiPriority w:val="0"/>
    <w:pPr>
      <w:keepNext/>
      <w:keepLines/>
      <w:numPr>
        <w:ilvl w:val="1"/>
        <w:numId w:val="1"/>
      </w:numPr>
      <w:tabs>
        <w:tab w:val="left" w:pos="567"/>
      </w:tabs>
      <w:spacing w:before="260" w:after="260" w:line="413" w:lineRule="auto"/>
      <w:outlineLvl w:val="1"/>
    </w:pPr>
    <w:rPr>
      <w:rFonts w:ascii="Arial" w:hAnsi="Arial"/>
      <w:b/>
      <w:bCs/>
      <w:sz w:val="30"/>
      <w:szCs w:val="32"/>
    </w:rPr>
  </w:style>
  <w:style w:type="paragraph" w:styleId="4">
    <w:name w:val="heading 3"/>
    <w:basedOn w:val="1"/>
    <w:next w:val="1"/>
    <w:qFormat/>
    <w:uiPriority w:val="0"/>
    <w:pPr>
      <w:keepNext/>
      <w:keepLines/>
      <w:numPr>
        <w:ilvl w:val="2"/>
        <w:numId w:val="1"/>
      </w:numPr>
      <w:spacing w:before="260" w:after="260" w:line="413" w:lineRule="auto"/>
      <w:outlineLvl w:val="2"/>
    </w:pPr>
    <w:rPr>
      <w:rFonts w:ascii="Arial" w:hAnsi="Arial"/>
      <w:b/>
      <w:bCs/>
      <w:sz w:val="28"/>
      <w:szCs w:val="18"/>
    </w:rPr>
  </w:style>
  <w:style w:type="paragraph" w:styleId="5">
    <w:name w:val="heading 4"/>
    <w:basedOn w:val="4"/>
    <w:next w:val="1"/>
    <w:qFormat/>
    <w:uiPriority w:val="0"/>
    <w:pPr>
      <w:numPr>
        <w:ilvl w:val="3"/>
      </w:numPr>
      <w:tabs>
        <w:tab w:val="left" w:pos="851"/>
      </w:tabs>
      <w:outlineLvl w:val="3"/>
    </w:pPr>
    <w:rPr>
      <w:sz w:val="24"/>
    </w:rPr>
  </w:style>
  <w:style w:type="paragraph" w:styleId="6">
    <w:name w:val="heading 5"/>
    <w:basedOn w:val="5"/>
    <w:next w:val="1"/>
    <w:qFormat/>
    <w:uiPriority w:val="0"/>
    <w:pPr>
      <w:numPr>
        <w:ilvl w:val="4"/>
      </w:numPr>
      <w:tabs>
        <w:tab w:val="left" w:pos="992"/>
        <w:tab w:val="clear" w:pos="851"/>
      </w:tabs>
      <w:outlineLvl w:val="4"/>
    </w:pPr>
    <w:rPr>
      <w:sz w:val="21"/>
    </w:rPr>
  </w:style>
  <w:style w:type="paragraph" w:styleId="7">
    <w:name w:val="heading 6"/>
    <w:basedOn w:val="6"/>
    <w:next w:val="1"/>
    <w:qFormat/>
    <w:uiPriority w:val="0"/>
    <w:pPr>
      <w:outlineLvl w:val="5"/>
    </w:pPr>
  </w:style>
  <w:style w:type="paragraph" w:styleId="8">
    <w:name w:val="heading 7"/>
    <w:basedOn w:val="7"/>
    <w:next w:val="1"/>
    <w:qFormat/>
    <w:uiPriority w:val="0"/>
    <w:pPr>
      <w:tabs>
        <w:tab w:val="clear" w:pos="992"/>
      </w:tabs>
      <w:outlineLvl w:val="6"/>
    </w:pPr>
  </w:style>
  <w:style w:type="paragraph" w:styleId="9">
    <w:name w:val="heading 8"/>
    <w:basedOn w:val="8"/>
    <w:next w:val="1"/>
    <w:qFormat/>
    <w:uiPriority w:val="0"/>
    <w:pPr>
      <w:outlineLvl w:val="7"/>
    </w:pPr>
  </w:style>
  <w:style w:type="paragraph" w:styleId="10">
    <w:name w:val="heading 9"/>
    <w:basedOn w:val="9"/>
    <w:next w:val="1"/>
    <w:qFormat/>
    <w:uiPriority w:val="0"/>
    <w:pPr>
      <w:outlineLvl w:val="8"/>
    </w:pPr>
  </w:style>
  <w:style w:type="character" w:default="1" w:styleId="30">
    <w:name w:val="Default Paragraph Font"/>
    <w:semiHidden/>
    <w:unhideWhenUsed/>
    <w:qFormat/>
    <w:uiPriority w:val="1"/>
  </w:style>
  <w:style w:type="table" w:default="1" w:styleId="29">
    <w:name w:val="Normal Table"/>
    <w:semiHidden/>
    <w:unhideWhenUsed/>
    <w:qFormat/>
    <w:uiPriority w:val="99"/>
    <w:tblPr>
      <w:tblLayout w:type="fixed"/>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Document Map"/>
    <w:basedOn w:val="1"/>
    <w:qFormat/>
    <w:uiPriority w:val="0"/>
    <w:pPr>
      <w:shd w:val="clear" w:color="auto" w:fill="000080"/>
    </w:pPr>
  </w:style>
  <w:style w:type="paragraph" w:styleId="13">
    <w:name w:val="Body Text"/>
    <w:basedOn w:val="1"/>
    <w:qFormat/>
    <w:uiPriority w:val="0"/>
    <w:pPr>
      <w:spacing w:after="120" w:line="360" w:lineRule="auto"/>
      <w:ind w:firstLine="200" w:firstLineChars="200"/>
    </w:pPr>
    <w:rPr>
      <w:sz w:val="24"/>
    </w:rPr>
  </w:style>
  <w:style w:type="paragraph" w:styleId="14">
    <w:name w:val="Body Text Indent"/>
    <w:basedOn w:val="1"/>
    <w:qFormat/>
    <w:uiPriority w:val="0"/>
    <w:pPr>
      <w:spacing w:after="120"/>
      <w:ind w:left="420" w:leftChars="200"/>
    </w:pPr>
  </w:style>
  <w:style w:type="paragraph" w:styleId="15">
    <w:name w:val="toc 5"/>
    <w:basedOn w:val="1"/>
    <w:next w:val="1"/>
    <w:qFormat/>
    <w:uiPriority w:val="0"/>
    <w:pPr>
      <w:ind w:left="1680" w:leftChars="800"/>
    </w:pPr>
  </w:style>
  <w:style w:type="paragraph" w:styleId="16">
    <w:name w:val="toc 3"/>
    <w:basedOn w:val="1"/>
    <w:next w:val="1"/>
    <w:qFormat/>
    <w:uiPriority w:val="39"/>
    <w:pPr>
      <w:tabs>
        <w:tab w:val="left" w:pos="1680"/>
        <w:tab w:val="right" w:leader="dot" w:pos="8302"/>
      </w:tabs>
      <w:ind w:left="840" w:leftChars="400"/>
    </w:pPr>
  </w:style>
  <w:style w:type="paragraph" w:styleId="17">
    <w:name w:val="toc 8"/>
    <w:basedOn w:val="1"/>
    <w:next w:val="1"/>
    <w:qFormat/>
    <w:uiPriority w:val="0"/>
    <w:pPr>
      <w:ind w:left="1470"/>
      <w:jc w:val="left"/>
    </w:pPr>
    <w:rPr>
      <w:szCs w:val="21"/>
    </w:rPr>
  </w:style>
  <w:style w:type="paragraph" w:styleId="18">
    <w:name w:val="index 3"/>
    <w:basedOn w:val="1"/>
    <w:next w:val="1"/>
    <w:qFormat/>
    <w:uiPriority w:val="0"/>
    <w:pPr>
      <w:ind w:left="400" w:leftChars="400"/>
    </w:pPr>
  </w:style>
  <w:style w:type="paragraph" w:styleId="19">
    <w:name w:val="Balloon Text"/>
    <w:basedOn w:val="1"/>
    <w:link w:val="44"/>
    <w:semiHidden/>
    <w:unhideWhenUsed/>
    <w:qFormat/>
    <w:uiPriority w:val="99"/>
    <w:rPr>
      <w:sz w:val="18"/>
      <w:szCs w:val="18"/>
    </w:rPr>
  </w:style>
  <w:style w:type="paragraph" w:styleId="20">
    <w:name w:val="footer"/>
    <w:basedOn w:val="1"/>
    <w:link w:val="49"/>
    <w:qFormat/>
    <w:uiPriority w:val="99"/>
    <w:pPr>
      <w:tabs>
        <w:tab w:val="center" w:pos="4153"/>
        <w:tab w:val="right" w:pos="8306"/>
      </w:tabs>
      <w:snapToGrid w:val="0"/>
      <w:jc w:val="center"/>
    </w:pPr>
    <w:rPr>
      <w:sz w:val="18"/>
      <w:szCs w:val="18"/>
    </w:rPr>
  </w:style>
  <w:style w:type="paragraph" w:styleId="21">
    <w:name w:val="header"/>
    <w:basedOn w:val="1"/>
    <w:link w:val="48"/>
    <w:qFormat/>
    <w:uiPriority w:val="99"/>
    <w:pPr>
      <w:pBdr>
        <w:bottom w:val="single" w:color="auto" w:sz="4" w:space="1"/>
      </w:pBdr>
      <w:tabs>
        <w:tab w:val="center" w:pos="4153"/>
        <w:tab w:val="right" w:pos="8306"/>
      </w:tabs>
      <w:snapToGrid w:val="0"/>
      <w:jc w:val="right"/>
    </w:pPr>
    <w:rPr>
      <w:sz w:val="18"/>
      <w:szCs w:val="18"/>
    </w:rPr>
  </w:style>
  <w:style w:type="paragraph" w:styleId="22">
    <w:name w:val="toc 1"/>
    <w:basedOn w:val="1"/>
    <w:next w:val="1"/>
    <w:qFormat/>
    <w:uiPriority w:val="39"/>
    <w:pPr>
      <w:spacing w:beforeLines="100"/>
    </w:pPr>
    <w:rPr>
      <w:b/>
    </w:rPr>
  </w:style>
  <w:style w:type="paragraph" w:styleId="23">
    <w:name w:val="toc 4"/>
    <w:basedOn w:val="1"/>
    <w:next w:val="1"/>
    <w:qFormat/>
    <w:uiPriority w:val="0"/>
    <w:pPr>
      <w:ind w:left="1260" w:leftChars="600"/>
    </w:pPr>
  </w:style>
  <w:style w:type="paragraph" w:styleId="24">
    <w:name w:val="toc 6"/>
    <w:basedOn w:val="1"/>
    <w:next w:val="1"/>
    <w:qFormat/>
    <w:uiPriority w:val="0"/>
    <w:pPr>
      <w:ind w:left="2100" w:leftChars="1000"/>
    </w:pPr>
  </w:style>
  <w:style w:type="paragraph" w:styleId="25">
    <w:name w:val="toc 2"/>
    <w:basedOn w:val="1"/>
    <w:next w:val="1"/>
    <w:qFormat/>
    <w:uiPriority w:val="39"/>
    <w:pPr>
      <w:tabs>
        <w:tab w:val="left" w:pos="1260"/>
        <w:tab w:val="right" w:leader="dot" w:pos="8302"/>
      </w:tabs>
      <w:ind w:left="420" w:leftChars="200"/>
    </w:pPr>
  </w:style>
  <w:style w:type="paragraph" w:styleId="26">
    <w:name w:val="toc 9"/>
    <w:basedOn w:val="1"/>
    <w:next w:val="1"/>
    <w:qFormat/>
    <w:uiPriority w:val="0"/>
    <w:pPr>
      <w:ind w:left="3360" w:leftChars="1600"/>
    </w:pPr>
  </w:style>
  <w:style w:type="paragraph" w:styleId="27">
    <w:name w:val="Normal (Web)"/>
    <w:basedOn w:val="1"/>
    <w:qFormat/>
    <w:uiPriority w:val="0"/>
    <w:pPr>
      <w:widowControl/>
      <w:spacing w:before="100" w:beforeAutospacing="1" w:after="100" w:afterAutospacing="1"/>
      <w:jc w:val="left"/>
    </w:pPr>
    <w:rPr>
      <w:rFonts w:ascii="宋体" w:hAnsi="宋体"/>
      <w:kern w:val="0"/>
      <w:sz w:val="24"/>
    </w:rPr>
  </w:style>
  <w:style w:type="paragraph" w:styleId="28">
    <w:name w:val="index 1"/>
    <w:basedOn w:val="1"/>
    <w:next w:val="1"/>
    <w:qFormat/>
    <w:uiPriority w:val="0"/>
  </w:style>
  <w:style w:type="character" w:styleId="31">
    <w:name w:val="Strong"/>
    <w:basedOn w:val="30"/>
    <w:qFormat/>
    <w:uiPriority w:val="22"/>
    <w:rPr>
      <w:b/>
      <w:bCs/>
    </w:rPr>
  </w:style>
  <w:style w:type="character" w:styleId="32">
    <w:name w:val="page number"/>
    <w:basedOn w:val="30"/>
    <w:qFormat/>
    <w:uiPriority w:val="0"/>
  </w:style>
  <w:style w:type="character" w:styleId="33">
    <w:name w:val="FollowedHyperlink"/>
    <w:basedOn w:val="30"/>
    <w:semiHidden/>
    <w:unhideWhenUsed/>
    <w:qFormat/>
    <w:uiPriority w:val="99"/>
    <w:rPr>
      <w:color w:val="800080" w:themeColor="followedHyperlink"/>
      <w:u w:val="single"/>
    </w:rPr>
  </w:style>
  <w:style w:type="character" w:styleId="34">
    <w:name w:val="Hyperlink"/>
    <w:qFormat/>
    <w:uiPriority w:val="99"/>
    <w:rPr>
      <w:color w:val="0000FF"/>
      <w:u w:val="single"/>
    </w:rPr>
  </w:style>
  <w:style w:type="character" w:styleId="35">
    <w:name w:val="annotation reference"/>
    <w:qFormat/>
    <w:uiPriority w:val="0"/>
    <w:rPr>
      <w:sz w:val="21"/>
      <w:szCs w:val="21"/>
    </w:rPr>
  </w:style>
  <w:style w:type="character" w:customStyle="1" w:styleId="36">
    <w:name w:val="访问过的超链接1"/>
    <w:qFormat/>
    <w:uiPriority w:val="0"/>
    <w:rPr>
      <w:color w:val="800080"/>
      <w:u w:val="single"/>
    </w:rPr>
  </w:style>
  <w:style w:type="character" w:customStyle="1" w:styleId="37">
    <w:name w:val="Indent Normal Char"/>
    <w:qFormat/>
    <w:uiPriority w:val="0"/>
    <w:rPr>
      <w:rFonts w:eastAsia="宋体"/>
      <w:kern w:val="2"/>
      <w:sz w:val="21"/>
      <w:szCs w:val="24"/>
      <w:lang w:val="en-US" w:eastAsia="zh-CN" w:bidi="ar-SA"/>
    </w:rPr>
  </w:style>
  <w:style w:type="paragraph" w:customStyle="1" w:styleId="38">
    <w:name w:val="Code"/>
    <w:basedOn w:val="1"/>
    <w:qFormat/>
    <w:uiPriority w:val="0"/>
    <w:pPr>
      <w:keepLines/>
      <w:widowControl/>
      <w:pBdr>
        <w:top w:val="double" w:color="auto" w:sz="4" w:space="1"/>
        <w:bottom w:val="double" w:color="auto" w:sz="4" w:space="1"/>
      </w:pBdr>
      <w:shd w:val="clear" w:color="auto" w:fill="E6E6E6"/>
      <w:ind w:left="200" w:leftChars="200" w:right="200" w:rightChars="200"/>
      <w:jc w:val="left"/>
    </w:pPr>
    <w:rPr>
      <w:rFonts w:ascii="Courier New" w:hAnsi="Courier New"/>
      <w:sz w:val="18"/>
      <w:szCs w:val="21"/>
    </w:rPr>
  </w:style>
  <w:style w:type="paragraph" w:customStyle="1" w:styleId="39">
    <w:name w:val="Subject"/>
    <w:basedOn w:val="1"/>
    <w:qFormat/>
    <w:uiPriority w:val="0"/>
    <w:pPr>
      <w:spacing w:beforeLines="800"/>
      <w:jc w:val="center"/>
    </w:pPr>
    <w:rPr>
      <w:rFonts w:eastAsia="黑体"/>
      <w:b/>
      <w:sz w:val="48"/>
    </w:rPr>
  </w:style>
  <w:style w:type="paragraph" w:customStyle="1" w:styleId="40">
    <w:name w:val="封面表格文本"/>
    <w:basedOn w:val="1"/>
    <w:qFormat/>
    <w:uiPriority w:val="0"/>
    <w:pPr>
      <w:autoSpaceDE w:val="0"/>
      <w:autoSpaceDN w:val="0"/>
      <w:adjustRightInd w:val="0"/>
      <w:jc w:val="center"/>
    </w:pPr>
    <w:rPr>
      <w:b/>
      <w:kern w:val="0"/>
      <w:sz w:val="24"/>
      <w:szCs w:val="20"/>
    </w:rPr>
  </w:style>
  <w:style w:type="paragraph" w:customStyle="1" w:styleId="41">
    <w:name w:val="封面文档标题"/>
    <w:basedOn w:val="1"/>
    <w:qFormat/>
    <w:uiPriority w:val="0"/>
    <w:pPr>
      <w:autoSpaceDE w:val="0"/>
      <w:autoSpaceDN w:val="0"/>
      <w:adjustRightInd w:val="0"/>
      <w:spacing w:line="360" w:lineRule="auto"/>
      <w:jc w:val="center"/>
    </w:pPr>
    <w:rPr>
      <w:rFonts w:ascii="Arial" w:hAnsi="Arial"/>
      <w:b/>
      <w:kern w:val="0"/>
      <w:sz w:val="56"/>
      <w:szCs w:val="20"/>
    </w:rPr>
  </w:style>
  <w:style w:type="paragraph" w:customStyle="1" w:styleId="42">
    <w:name w:val="公司名称"/>
    <w:basedOn w:val="1"/>
    <w:qFormat/>
    <w:uiPriority w:val="0"/>
    <w:pPr>
      <w:widowControl/>
      <w:autoSpaceDE w:val="0"/>
      <w:autoSpaceDN w:val="0"/>
      <w:adjustRightInd w:val="0"/>
      <w:jc w:val="left"/>
    </w:pPr>
    <w:rPr>
      <w:rFonts w:eastAsia="黑体"/>
      <w:b/>
      <w:kern w:val="0"/>
      <w:sz w:val="32"/>
      <w:szCs w:val="20"/>
    </w:rPr>
  </w:style>
  <w:style w:type="paragraph" w:customStyle="1" w:styleId="43">
    <w:name w:val="TOC Heading"/>
    <w:basedOn w:val="2"/>
    <w:next w:val="1"/>
    <w:unhideWhenUsed/>
    <w:qFormat/>
    <w:uiPriority w:val="39"/>
    <w:pPr>
      <w:widowControl/>
      <w:numPr>
        <w:numId w:val="0"/>
      </w:numPr>
      <w:spacing w:before="480" w:after="0" w:line="276" w:lineRule="auto"/>
      <w:jc w:val="left"/>
      <w:outlineLvl w:val="9"/>
    </w:pPr>
    <w:rPr>
      <w:rFonts w:ascii="Cambria" w:hAnsi="Cambria"/>
      <w:color w:val="365F91"/>
      <w:kern w:val="0"/>
      <w:sz w:val="28"/>
    </w:rPr>
  </w:style>
  <w:style w:type="character" w:customStyle="1" w:styleId="44">
    <w:name w:val="批注框文本 Char"/>
    <w:basedOn w:val="30"/>
    <w:link w:val="19"/>
    <w:semiHidden/>
    <w:qFormat/>
    <w:uiPriority w:val="99"/>
    <w:rPr>
      <w:kern w:val="2"/>
      <w:sz w:val="18"/>
      <w:szCs w:val="18"/>
    </w:rPr>
  </w:style>
  <w:style w:type="character" w:customStyle="1" w:styleId="45">
    <w:name w:val="标题 2 Char"/>
    <w:basedOn w:val="30"/>
    <w:link w:val="3"/>
    <w:qFormat/>
    <w:uiPriority w:val="0"/>
    <w:rPr>
      <w:rFonts w:ascii="Arial" w:hAnsi="Arial"/>
      <w:b/>
      <w:bCs/>
      <w:kern w:val="2"/>
      <w:sz w:val="30"/>
      <w:szCs w:val="32"/>
    </w:rPr>
  </w:style>
  <w:style w:type="paragraph" w:styleId="46">
    <w:name w:val="List Paragraph"/>
    <w:basedOn w:val="1"/>
    <w:qFormat/>
    <w:uiPriority w:val="34"/>
    <w:pPr>
      <w:ind w:firstLine="420" w:firstLineChars="200"/>
    </w:pPr>
  </w:style>
  <w:style w:type="paragraph" w:customStyle="1" w:styleId="47">
    <w:name w:val="Indent Normal"/>
    <w:basedOn w:val="1"/>
    <w:qFormat/>
    <w:uiPriority w:val="0"/>
    <w:pPr>
      <w:ind w:firstLine="150" w:firstLineChars="150"/>
    </w:pPr>
    <w:rPr>
      <w:sz w:val="24"/>
    </w:rPr>
  </w:style>
  <w:style w:type="character" w:customStyle="1" w:styleId="48">
    <w:name w:val="页眉 Char"/>
    <w:basedOn w:val="30"/>
    <w:link w:val="21"/>
    <w:qFormat/>
    <w:uiPriority w:val="99"/>
    <w:rPr>
      <w:kern w:val="2"/>
      <w:sz w:val="18"/>
      <w:szCs w:val="18"/>
    </w:rPr>
  </w:style>
  <w:style w:type="character" w:customStyle="1" w:styleId="49">
    <w:name w:val="页脚 Char"/>
    <w:basedOn w:val="30"/>
    <w:link w:val="20"/>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5" Type="http://schemas.openxmlformats.org/officeDocument/2006/relationships/glossaryDocument" Target="glossary/document.xml"/><Relationship Id="rId44" Type="http://schemas.openxmlformats.org/officeDocument/2006/relationships/fontTable" Target="fontTable.xml"/><Relationship Id="rId43" Type="http://schemas.openxmlformats.org/officeDocument/2006/relationships/customXml" Target="../customXml/item2.xml"/><Relationship Id="rId42" Type="http://schemas.openxmlformats.org/officeDocument/2006/relationships/numbering" Target="numbering.xml"/><Relationship Id="rId41" Type="http://schemas.openxmlformats.org/officeDocument/2006/relationships/customXml" Target="../customXml/item1.xml"/><Relationship Id="rId40" Type="http://schemas.openxmlformats.org/officeDocument/2006/relationships/image" Target="media/image32.png"/><Relationship Id="rId4" Type="http://schemas.openxmlformats.org/officeDocument/2006/relationships/header" Target="header2.xml"/><Relationship Id="rId39" Type="http://schemas.openxmlformats.org/officeDocument/2006/relationships/image" Target="media/image31.png"/><Relationship Id="rId38" Type="http://schemas.openxmlformats.org/officeDocument/2006/relationships/image" Target="media/image30.png"/><Relationship Id="rId37" Type="http://schemas.openxmlformats.org/officeDocument/2006/relationships/image" Target="media/image29.png"/><Relationship Id="rId36" Type="http://schemas.openxmlformats.org/officeDocument/2006/relationships/image" Target="media/image28.png"/><Relationship Id="rId35" Type="http://schemas.openxmlformats.org/officeDocument/2006/relationships/image" Target="media/image27.png"/><Relationship Id="rId34" Type="http://schemas.openxmlformats.org/officeDocument/2006/relationships/image" Target="media/image26.png"/><Relationship Id="rId33" Type="http://schemas.openxmlformats.org/officeDocument/2006/relationships/image" Target="media/image25.png"/><Relationship Id="rId32" Type="http://schemas.openxmlformats.org/officeDocument/2006/relationships/image" Target="media/image24.png"/><Relationship Id="rId31" Type="http://schemas.openxmlformats.org/officeDocument/2006/relationships/image" Target="media/image23.png"/><Relationship Id="rId30" Type="http://schemas.openxmlformats.org/officeDocument/2006/relationships/image" Target="media/image22.png"/><Relationship Id="rId3" Type="http://schemas.openxmlformats.org/officeDocument/2006/relationships/header" Target="header1.xml"/><Relationship Id="rId29" Type="http://schemas.openxmlformats.org/officeDocument/2006/relationships/image" Target="media/image21.png"/><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png"/><Relationship Id="rId24" Type="http://schemas.openxmlformats.org/officeDocument/2006/relationships/image" Target="media/image16.png"/><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ven\Desktop\design.dot"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10792C1D70804ECE811E0A9CF92C5DF2"/>
        <w:style w:val=""/>
        <w:category>
          <w:name w:val="常规"/>
          <w:gallery w:val="placeholder"/>
        </w:category>
        <w:types>
          <w:type w:val="bbPlcHdr"/>
        </w:types>
        <w:behaviors>
          <w:behavior w:val="content"/>
        </w:behaviors>
        <w:description w:val=""/>
        <w:guid w:val="{29F47FE5-56A8-449D-83D6-2797ADEB4CEE}"/>
      </w:docPartPr>
      <w:docPartBody>
        <w:p>
          <w:pPr>
            <w:pStyle w:val="13"/>
          </w:pPr>
          <w:r>
            <w:rPr>
              <w:lang w:val="zh-CN"/>
            </w:rPr>
            <w:t>[在此处键入]</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2E65"/>
    <w:rsid w:val="00562E65"/>
    <w:rsid w:val="005716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uiPriority="1" w:name="Default Paragraph Font"/>
    <w:lsdException w:qFormat="1" w:uiPriority="99" w:name="Normal Table"/>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 w:type="paragraph" w:customStyle="1" w:styleId="4">
    <w:name w:val="296E3443BD5243EE8BCDE1A9494E0C11"/>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5">
    <w:name w:val="D49836CDD8924AE2B4FFBEF0503F8E09"/>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1F01DC772EA149DFB3BD0B1A2EF57A73"/>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409DECAA579E4F0BB62F76E3E9BE01A9"/>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8">
    <w:name w:val="0AA4D64CED944E73843ACE0F125F62AD"/>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9">
    <w:name w:val="F039E795675648B8800BEF280993B30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10">
    <w:name w:val="73065694B34F41B981498F2C9469BFBD"/>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11">
    <w:name w:val="F5D26051133B44AF92865F8317F823BF"/>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12">
    <w:name w:val="F371390A94A14F4EA391563EFA6244B7"/>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13">
    <w:name w:val="10792C1D70804ECE811E0A9CF92C5DF2"/>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3E4D885-346C-474D-B296-70D3E927E105}">
  <ds:schemaRefs/>
</ds:datastoreItem>
</file>

<file path=docProps/app.xml><?xml version="1.0" encoding="utf-8"?>
<Properties xmlns="http://schemas.openxmlformats.org/officeDocument/2006/extended-properties" xmlns:vt="http://schemas.openxmlformats.org/officeDocument/2006/docPropsVTypes">
  <Template>design</Template>
  <Company>江苏国泰新点软件有限公司</Company>
  <Pages>39</Pages>
  <Words>1654</Words>
  <Characters>9432</Characters>
  <Lines>78</Lines>
  <Paragraphs>22</Paragraphs>
  <TotalTime>62</TotalTime>
  <ScaleCrop>false</ScaleCrop>
  <LinksUpToDate>false</LinksUpToDate>
  <CharactersWithSpaces>11064</CharactersWithSpaces>
  <Application>WPS Office_11.1.0.8894_F1E327BC-269C-435d-A152-05C5408002CA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2015-10-19T03:22:00Z</dcterms:created>
  <dc:creator>humf</dc:creator>
  <cp:lastModifiedBy>liaoqc</cp:lastModifiedBy>
  <cp:lastPrinted>2004-11-15T02:42:00Z</cp:lastPrinted>
  <dcterms:modified xsi:type="dcterms:W3CDTF">2019-07-20T14:22:23Z</dcterms:modified>
  <dc:title>智慧清单先锋软件V7</dc:title>
  <cp:revision>80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