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D51C4">
      <w:pPr>
        <w:pStyle w:val="3"/>
        <w:tabs>
          <w:tab w:val="left" w:pos="0"/>
        </w:tabs>
        <w:autoSpaceDE w:val="0"/>
        <w:autoSpaceDN w:val="0"/>
        <w:adjustRightInd w:val="0"/>
        <w:spacing w:before="0" w:after="0" w:line="360" w:lineRule="auto"/>
        <w:jc w:val="center"/>
        <w:rPr>
          <w:rFonts w:hint="eastAsia" w:ascii="方正小标宋简体" w:hAnsi="方正小标宋简体" w:eastAsia="方正小标宋简体" w:cs="方正小标宋简体"/>
          <w:sz w:val="36"/>
          <w:szCs w:val="36"/>
        </w:rPr>
      </w:pPr>
      <w:bookmarkStart w:id="0" w:name="_Toc28359044"/>
      <w:bookmarkStart w:id="1" w:name="_Toc35393834"/>
      <w:r>
        <w:rPr>
          <w:rFonts w:hint="eastAsia" w:ascii="方正小标宋简体" w:hAnsi="方正小标宋简体" w:eastAsia="方正小标宋简体" w:cs="方正小标宋简体"/>
          <w:sz w:val="36"/>
          <w:szCs w:val="36"/>
        </w:rPr>
        <w:t>监督检查处理结果</w:t>
      </w:r>
      <w:bookmarkEnd w:id="0"/>
      <w:bookmarkEnd w:id="1"/>
    </w:p>
    <w:p w14:paraId="37CDA33E"/>
    <w:p w14:paraId="221474AC">
      <w:pPr>
        <w:ind w:firstLine="560" w:firstLineChars="200"/>
        <w:rPr>
          <w:rFonts w:ascii="黑体" w:hAnsi="黑体" w:eastAsia="黑体"/>
          <w:sz w:val="28"/>
          <w:szCs w:val="28"/>
        </w:rPr>
      </w:pPr>
      <w:r>
        <w:rPr>
          <w:rFonts w:hint="eastAsia" w:ascii="黑体" w:hAnsi="黑体" w:eastAsia="黑体"/>
          <w:sz w:val="28"/>
          <w:szCs w:val="28"/>
        </w:rPr>
        <w:t>一、</w:t>
      </w:r>
      <w:r>
        <w:rPr>
          <w:rFonts w:hint="eastAsia" w:ascii="黑体" w:hAnsi="黑体" w:eastAsia="黑体" w:cs="黑体"/>
          <w:sz w:val="32"/>
          <w:szCs w:val="32"/>
        </w:rPr>
        <w:t>项目编号</w:t>
      </w:r>
      <w:r>
        <w:rPr>
          <w:rFonts w:hint="eastAsia" w:ascii="黑体" w:hAnsi="黑体" w:eastAsia="黑体"/>
          <w:sz w:val="28"/>
          <w:szCs w:val="28"/>
        </w:rPr>
        <w:t>：</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eastAsia="zh-CN"/>
        </w:rPr>
        <w:t>无</w:t>
      </w:r>
      <w:r>
        <w:rPr>
          <w:rFonts w:hint="eastAsia" w:ascii="仿宋_GB2312" w:hAnsi="仿宋_GB2312" w:eastAsia="仿宋_GB2312" w:cs="仿宋_GB2312"/>
          <w:sz w:val="32"/>
          <w:szCs w:val="32"/>
          <w:u w:val="single"/>
        </w:rPr>
        <w:t>　　　　</w:t>
      </w:r>
    </w:p>
    <w:p w14:paraId="0802C4AC">
      <w:pPr>
        <w:ind w:left="2519" w:leftChars="266" w:hanging="1960" w:hangingChars="700"/>
        <w:rPr>
          <w:rFonts w:hint="eastAsia" w:ascii="仿宋_GB2312" w:hAnsi="仿宋_GB2312" w:eastAsia="仿宋_GB2312" w:cs="仿宋_GB2312"/>
          <w:sz w:val="32"/>
          <w:szCs w:val="32"/>
          <w:u w:val="single"/>
        </w:rPr>
      </w:pPr>
      <w:r>
        <w:rPr>
          <w:rFonts w:hint="eastAsia" w:ascii="黑体" w:hAnsi="黑体" w:eastAsia="黑体"/>
          <w:sz w:val="28"/>
          <w:szCs w:val="28"/>
        </w:rPr>
        <w:t>二、</w:t>
      </w:r>
      <w:r>
        <w:rPr>
          <w:rFonts w:hint="eastAsia" w:ascii="黑体" w:hAnsi="黑体" w:eastAsia="黑体" w:cs="黑体"/>
          <w:sz w:val="32"/>
          <w:szCs w:val="32"/>
        </w:rPr>
        <w:t>项目名称</w:t>
      </w:r>
      <w:r>
        <w:rPr>
          <w:rFonts w:hint="eastAsia" w:ascii="黑体" w:hAnsi="黑体" w:eastAsia="黑体"/>
          <w:sz w:val="28"/>
          <w:szCs w:val="28"/>
        </w:rPr>
        <w:t>：</w:t>
      </w:r>
      <w:r>
        <w:rPr>
          <w:rFonts w:hint="eastAsia" w:ascii="仿宋_GB2312" w:hAnsi="仿宋_GB2312" w:eastAsia="仿宋_GB2312" w:cs="仿宋_GB2312"/>
          <w:sz w:val="32"/>
          <w:szCs w:val="32"/>
          <w:u w:val="single"/>
        </w:rPr>
        <w:t>袁州区</w:t>
      </w:r>
      <w:r>
        <w:rPr>
          <w:rFonts w:hint="eastAsia" w:ascii="仿宋_GB2312" w:hAnsi="Calibri" w:eastAsia="仿宋_GB2312" w:cs="仿宋"/>
          <w:color w:val="000000"/>
          <w:sz w:val="32"/>
          <w:szCs w:val="32"/>
          <w:u w:val="single"/>
          <w:lang w:val="en-US" w:eastAsia="zh-CN"/>
        </w:rPr>
        <w:t>竹亭镇人民政府2021年环卫一体化承包服务项目</w:t>
      </w:r>
      <w:r>
        <w:rPr>
          <w:rFonts w:hint="eastAsia" w:ascii="仿宋_GB2312" w:hAnsi="仿宋_GB2312" w:eastAsia="仿宋_GB2312" w:cs="仿宋_GB2312"/>
          <w:sz w:val="32"/>
          <w:szCs w:val="32"/>
          <w:u w:val="single"/>
        </w:rPr>
        <w:t>　</w:t>
      </w:r>
    </w:p>
    <w:p w14:paraId="41A78EE5">
      <w:pPr>
        <w:ind w:firstLine="560" w:firstLineChars="200"/>
        <w:rPr>
          <w:rFonts w:hint="eastAsia" w:ascii="黑体" w:hAnsi="黑体" w:eastAsia="黑体" w:cs="黑体"/>
          <w:sz w:val="32"/>
          <w:szCs w:val="32"/>
        </w:rPr>
      </w:pPr>
      <w:r>
        <w:rPr>
          <w:rFonts w:hint="eastAsia" w:ascii="黑体" w:hAnsi="黑体" w:eastAsia="黑体"/>
          <w:sz w:val="28"/>
          <w:szCs w:val="28"/>
        </w:rPr>
        <w:t>三、</w:t>
      </w:r>
      <w:r>
        <w:rPr>
          <w:rFonts w:hint="eastAsia" w:ascii="黑体" w:hAnsi="黑体" w:eastAsia="黑体" w:cs="黑体"/>
          <w:sz w:val="32"/>
          <w:szCs w:val="32"/>
        </w:rPr>
        <w:t>相关当事人</w:t>
      </w:r>
    </w:p>
    <w:p w14:paraId="2867D2D3">
      <w:pPr>
        <w:ind w:firstLine="646" w:firstLineChars="20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rPr>
        <w:t>当事人1：袁州区</w:t>
      </w:r>
      <w:r>
        <w:rPr>
          <w:rFonts w:hint="eastAsia" w:ascii="仿宋_GB2312" w:hAnsi="仿宋_GB2312" w:eastAsia="仿宋_GB2312" w:cs="仿宋_GB2312"/>
          <w:sz w:val="32"/>
          <w:szCs w:val="32"/>
          <w:u w:val="single"/>
          <w:lang w:eastAsia="zh-CN"/>
        </w:rPr>
        <w:t>竹亭镇人民政府</w:t>
      </w:r>
      <w:r>
        <w:rPr>
          <w:rFonts w:hint="eastAsia" w:ascii="仿宋_GB2312" w:hAnsi="仿宋_GB2312" w:eastAsia="仿宋_GB2312" w:cs="仿宋_GB2312"/>
          <w:sz w:val="32"/>
          <w:szCs w:val="32"/>
          <w:u w:val="single"/>
          <w:lang w:val="en-US" w:eastAsia="zh-CN"/>
        </w:rPr>
        <w:t xml:space="preserve">   </w:t>
      </w:r>
    </w:p>
    <w:p w14:paraId="29639BC9">
      <w:pPr>
        <w:ind w:firstLine="646" w:firstLineChars="202"/>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sz w:val="32"/>
          <w:szCs w:val="32"/>
          <w:u w:val="single"/>
        </w:rPr>
        <w:t>地址：</w:t>
      </w:r>
      <w:r>
        <w:rPr>
          <w:rFonts w:hint="eastAsia" w:ascii="仿宋_GB2312" w:hAnsi="仿宋_GB2312" w:eastAsia="仿宋_GB2312" w:cs="仿宋_GB2312"/>
          <w:color w:val="auto"/>
          <w:sz w:val="32"/>
          <w:szCs w:val="32"/>
          <w:u w:val="single"/>
        </w:rPr>
        <w:t>袁州区</w:t>
      </w:r>
      <w:r>
        <w:rPr>
          <w:rFonts w:hint="eastAsia" w:ascii="仿宋_GB2312" w:hAnsi="仿宋_GB2312" w:eastAsia="仿宋_GB2312" w:cs="仿宋_GB2312"/>
          <w:sz w:val="32"/>
          <w:szCs w:val="32"/>
          <w:u w:val="single"/>
          <w:lang w:eastAsia="zh-CN"/>
        </w:rPr>
        <w:t>竹亭镇</w:t>
      </w:r>
      <w:r>
        <w:rPr>
          <w:rFonts w:hint="eastAsia" w:ascii="仿宋_GB2312" w:hAnsi="仿宋_GB2312" w:eastAsia="仿宋_GB2312" w:cs="仿宋_GB2312"/>
          <w:color w:val="auto"/>
          <w:sz w:val="32"/>
          <w:szCs w:val="32"/>
          <w:u w:val="single"/>
          <w:lang w:eastAsia="zh-CN"/>
        </w:rPr>
        <w:t>集镇</w:t>
      </w:r>
      <w:r>
        <w:rPr>
          <w:rFonts w:hint="eastAsia" w:ascii="仿宋_GB2312" w:hAnsi="仿宋_GB2312" w:eastAsia="仿宋_GB2312" w:cs="仿宋_GB2312"/>
          <w:sz w:val="32"/>
          <w:szCs w:val="32"/>
          <w:u w:val="single"/>
          <w:lang w:val="en-US" w:eastAsia="zh-CN"/>
        </w:rPr>
        <w:t xml:space="preserve">     </w:t>
      </w:r>
    </w:p>
    <w:p w14:paraId="53D491A4">
      <w:pPr>
        <w:ind w:firstLine="640" w:firstLineChars="200"/>
        <w:rPr>
          <w:rFonts w:hint="eastAsia" w:ascii="黑体" w:hAnsi="黑体" w:eastAsia="黑体" w:cs="黑体"/>
          <w:sz w:val="32"/>
          <w:szCs w:val="32"/>
        </w:rPr>
      </w:pPr>
      <w:r>
        <w:rPr>
          <w:rFonts w:hint="eastAsia" w:ascii="黑体" w:hAnsi="黑体" w:eastAsia="黑体" w:cs="黑体"/>
          <w:sz w:val="32"/>
          <w:szCs w:val="32"/>
        </w:rPr>
        <w:t>四、基本情况</w:t>
      </w:r>
    </w:p>
    <w:p w14:paraId="309AA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袁州区审计局对袁州区竹亭人民政府经济责任履行情况审计调查中发现袁州区竹亭人民政府</w:t>
      </w:r>
      <w:r>
        <w:rPr>
          <w:rFonts w:hint="eastAsia" w:ascii="仿宋_GB2312" w:hAnsi="仿宋_GB2312" w:eastAsia="仿宋_GB2312" w:cs="仿宋_GB2312"/>
          <w:sz w:val="32"/>
          <w:szCs w:val="32"/>
          <w:u w:val="none"/>
          <w:lang w:val="en-US" w:eastAsia="zh-CN"/>
        </w:rPr>
        <w:t>2021年环卫一体化承包服务项目为按照政府采购规定采购</w:t>
      </w:r>
      <w:r>
        <w:rPr>
          <w:rFonts w:hint="eastAsia" w:ascii="仿宋_GB2312" w:hAnsi="仿宋_GB2312" w:eastAsia="仿宋_GB2312" w:cs="仿宋_GB2312"/>
          <w:sz w:val="32"/>
          <w:szCs w:val="32"/>
          <w:u w:val="none"/>
          <w:lang w:eastAsia="zh-CN"/>
        </w:rPr>
        <w:t>的违法行为。</w:t>
      </w:r>
    </w:p>
    <w:p w14:paraId="026AFCED">
      <w:pPr>
        <w:keepNext w:val="0"/>
        <w:keepLines w:val="0"/>
        <w:pageBreakBefore w:val="0"/>
        <w:kinsoku/>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五、处理依据及结果</w:t>
      </w:r>
    </w:p>
    <w:p w14:paraId="74FDEE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依据《中华人民共和国政府采购法实施条例》第六十八条、第七十一条</w:t>
      </w:r>
      <w:r>
        <w:rPr>
          <w:rFonts w:hint="eastAsia" w:ascii="仿宋_GB2312" w:hAnsi="仿宋_GB2312" w:eastAsia="仿宋_GB2312" w:cs="仿宋_GB2312"/>
          <w:sz w:val="32"/>
          <w:szCs w:val="32"/>
          <w:u w:val="none"/>
          <w:lang w:val="en-US" w:eastAsia="zh-CN"/>
        </w:rPr>
        <w:t>以及</w:t>
      </w:r>
      <w:r>
        <w:rPr>
          <w:rFonts w:hint="eastAsia" w:ascii="仿宋_GB2312" w:eastAsia="仿宋_GB2312" w:cs="仿宋"/>
          <w:color w:val="000000"/>
          <w:sz w:val="32"/>
          <w:szCs w:val="32"/>
        </w:rPr>
        <w:t>《江西省财政部门行政处罚裁量权基准（试行）》（赣财规〔2023〕4号）第</w:t>
      </w:r>
      <w:r>
        <w:rPr>
          <w:rFonts w:hint="eastAsia" w:ascii="仿宋_GB2312" w:eastAsia="仿宋_GB2312" w:cs="仿宋"/>
          <w:color w:val="000000"/>
          <w:sz w:val="32"/>
          <w:szCs w:val="32"/>
          <w:lang w:val="en-US" w:eastAsia="zh-CN"/>
        </w:rPr>
        <w:t>84</w:t>
      </w:r>
      <w:r>
        <w:rPr>
          <w:rFonts w:hint="eastAsia" w:ascii="仿宋_GB2312" w:eastAsia="仿宋_GB2312" w:cs="仿宋"/>
          <w:color w:val="000000"/>
          <w:sz w:val="32"/>
          <w:szCs w:val="32"/>
        </w:rPr>
        <w:t>项</w:t>
      </w:r>
      <w:r>
        <w:rPr>
          <w:rFonts w:hint="eastAsia" w:ascii="仿宋_GB2312" w:eastAsia="仿宋_GB2312" w:cs="仿宋"/>
          <w:color w:val="000000"/>
          <w:sz w:val="32"/>
          <w:szCs w:val="32"/>
          <w:lang w:eastAsia="zh-CN"/>
        </w:rPr>
        <w:t>之规定，</w:t>
      </w:r>
      <w:r>
        <w:rPr>
          <w:rFonts w:hint="eastAsia" w:ascii="仿宋_GB2312" w:eastAsia="仿宋_GB2312" w:cs="仿宋"/>
          <w:color w:val="000000"/>
          <w:sz w:val="32"/>
          <w:szCs w:val="32"/>
          <w:lang w:val="en-US" w:eastAsia="zh-CN"/>
        </w:rPr>
        <w:t>责令限期改正，给予警告</w:t>
      </w:r>
      <w:r>
        <w:rPr>
          <w:rFonts w:hint="eastAsia" w:ascii="仿宋_GB2312" w:hAnsi="仿宋_GB2312" w:eastAsia="仿宋_GB2312" w:cs="仿宋_GB2312"/>
          <w:sz w:val="32"/>
          <w:szCs w:val="32"/>
          <w:u w:val="none"/>
          <w:lang w:val="en-US" w:eastAsia="zh-CN"/>
        </w:rPr>
        <w:t>。</w:t>
      </w:r>
    </w:p>
    <w:p w14:paraId="3C5CFAA6">
      <w:pPr>
        <w:keepNext w:val="0"/>
        <w:keepLines w:val="0"/>
        <w:pageBreakBefore w:val="0"/>
        <w:widowControl w:val="0"/>
        <w:numPr>
          <w:ilvl w:val="0"/>
          <w:numId w:val="1"/>
        </w:numPr>
        <w:kinsoku/>
        <w:wordWrap/>
        <w:overflowPunct/>
        <w:topLinePunct w:val="0"/>
        <w:autoSpaceDE/>
        <w:autoSpaceDN/>
        <w:bidi w:val="0"/>
        <w:adjustRightInd/>
        <w:snapToGrid/>
        <w:ind w:left="638" w:leftChars="304"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其他补充事宜</w:t>
      </w:r>
    </w:p>
    <w:p w14:paraId="6DE650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当事人如不服本行政处罚决定，可在收到本处罚决定书之日起60日内向</w:t>
      </w:r>
      <w:r>
        <w:rPr>
          <w:rFonts w:hint="default" w:ascii="仿宋_GB2312" w:hAnsi="仿宋_GB2312" w:eastAsia="仿宋_GB2312" w:cs="仿宋_GB2312"/>
          <w:sz w:val="32"/>
          <w:szCs w:val="32"/>
          <w:u w:val="none"/>
          <w:lang w:eastAsia="zh-CN"/>
        </w:rPr>
        <w:t>宜春市袁州区人民政府</w:t>
      </w:r>
      <w:r>
        <w:rPr>
          <w:rFonts w:hint="eastAsia" w:ascii="仿宋_GB2312" w:hAnsi="仿宋_GB2312" w:eastAsia="仿宋_GB2312" w:cs="仿宋_GB2312"/>
          <w:sz w:val="32"/>
          <w:szCs w:val="32"/>
          <w:u w:val="none"/>
          <w:lang w:eastAsia="zh-CN"/>
        </w:rPr>
        <w:t>申请行政复议，也可以在收到本行政处罚决定之日起6个月内向人民法院提起行政诉讼。复议和诉讼期间，本行政处罚不停止执行。当事人在上述法定期限内，既不申请行政复议或提起行政诉讼，又未履行本行政处罚义务的，本局将依法申请人民法院强制执行。</w:t>
      </w:r>
    </w:p>
    <w:p w14:paraId="6AF1B1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bookmarkStart w:id="2" w:name="_GoBack"/>
      <w:bookmarkEnd w:id="2"/>
    </w:p>
    <w:p w14:paraId="773539D4">
      <w:pPr>
        <w:widowControl/>
        <w:ind w:right="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644FF2D">
      <w:pPr>
        <w:widowControl/>
        <w:ind w:right="3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020C3A8">
      <w:pPr>
        <w:widowControl/>
        <w:ind w:right="3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宜春市袁州区财政局</w:t>
      </w:r>
    </w:p>
    <w:p w14:paraId="3BC50F87">
      <w:pPr>
        <w:widowControl/>
        <w:ind w:right="3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262C25CF">
        <w:pPr>
          <w:pStyle w:val="12"/>
          <w:jc w:val="center"/>
        </w:pPr>
        <w:r>
          <w:fldChar w:fldCharType="begin"/>
        </w:r>
        <w:r>
          <w:instrText xml:space="preserve">PAGE   \* MERGEFORMAT</w:instrText>
        </w:r>
        <w:r>
          <w:fldChar w:fldCharType="separate"/>
        </w:r>
        <w:r>
          <w:rPr>
            <w:lang w:val="zh-CN"/>
          </w:rPr>
          <w:t>1</w:t>
        </w:r>
        <w:r>
          <w:fldChar w:fldCharType="end"/>
        </w:r>
      </w:p>
    </w:sdtContent>
  </w:sdt>
  <w:p w14:paraId="656DEA1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AB6A8"/>
    <w:multiLevelType w:val="singleLevel"/>
    <w:tmpl w:val="30EAB6A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jEwNzhiNzBkOTVlNjJhOWE4N2QzODQzN2I2ZGE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16543"/>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26059E8"/>
    <w:rsid w:val="03E33071"/>
    <w:rsid w:val="046F616C"/>
    <w:rsid w:val="04A740F9"/>
    <w:rsid w:val="0B6002C7"/>
    <w:rsid w:val="10F1501F"/>
    <w:rsid w:val="11840E7C"/>
    <w:rsid w:val="156F5A0C"/>
    <w:rsid w:val="15E1607E"/>
    <w:rsid w:val="1B356450"/>
    <w:rsid w:val="1B4C221E"/>
    <w:rsid w:val="1C262F8C"/>
    <w:rsid w:val="1E8F40C9"/>
    <w:rsid w:val="217C6D52"/>
    <w:rsid w:val="219A1C65"/>
    <w:rsid w:val="21CB3A5F"/>
    <w:rsid w:val="21F90E60"/>
    <w:rsid w:val="256B319A"/>
    <w:rsid w:val="25893C37"/>
    <w:rsid w:val="28E141F5"/>
    <w:rsid w:val="28E22DA5"/>
    <w:rsid w:val="2CB371D5"/>
    <w:rsid w:val="2D517F77"/>
    <w:rsid w:val="310E5321"/>
    <w:rsid w:val="358F5940"/>
    <w:rsid w:val="38622B63"/>
    <w:rsid w:val="391D1F38"/>
    <w:rsid w:val="3A6305DE"/>
    <w:rsid w:val="3E9A05A9"/>
    <w:rsid w:val="3F4469A5"/>
    <w:rsid w:val="3FB47381"/>
    <w:rsid w:val="41A72087"/>
    <w:rsid w:val="41DB6C24"/>
    <w:rsid w:val="438E1648"/>
    <w:rsid w:val="44964820"/>
    <w:rsid w:val="46E110B6"/>
    <w:rsid w:val="4778341F"/>
    <w:rsid w:val="48F759E7"/>
    <w:rsid w:val="4C1C19BF"/>
    <w:rsid w:val="4F425540"/>
    <w:rsid w:val="507027E6"/>
    <w:rsid w:val="5136739D"/>
    <w:rsid w:val="5212481A"/>
    <w:rsid w:val="522F02DE"/>
    <w:rsid w:val="5314011E"/>
    <w:rsid w:val="53B65679"/>
    <w:rsid w:val="54551BDE"/>
    <w:rsid w:val="54B56AB3"/>
    <w:rsid w:val="55B85B2E"/>
    <w:rsid w:val="572B6763"/>
    <w:rsid w:val="5AEE336B"/>
    <w:rsid w:val="5D1F6F7E"/>
    <w:rsid w:val="5DCB3ACF"/>
    <w:rsid w:val="5E82103D"/>
    <w:rsid w:val="60964FF0"/>
    <w:rsid w:val="61384EC8"/>
    <w:rsid w:val="67401089"/>
    <w:rsid w:val="67553B2A"/>
    <w:rsid w:val="6CE872AF"/>
    <w:rsid w:val="6FEC6DC9"/>
    <w:rsid w:val="718A4A0E"/>
    <w:rsid w:val="73486DFE"/>
    <w:rsid w:val="735633A3"/>
    <w:rsid w:val="74023B4A"/>
    <w:rsid w:val="752C6579"/>
    <w:rsid w:val="768A2723"/>
    <w:rsid w:val="79D36144"/>
    <w:rsid w:val="7A5306C3"/>
    <w:rsid w:val="7C1C7EBF"/>
    <w:rsid w:val="7D111E22"/>
    <w:rsid w:val="7E671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8"/>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Plain Text"/>
    <w:basedOn w:val="1"/>
    <w:next w:val="1"/>
    <w:link w:val="30"/>
    <w:qFormat/>
    <w:uiPriority w:val="0"/>
    <w:rPr>
      <w:rFonts w:ascii="宋体" w:hAnsi="Courier New" w:eastAsiaTheme="minorEastAsia" w:cstheme="minorBidi"/>
      <w:szCs w:val="22"/>
    </w:rPr>
  </w:style>
  <w:style w:type="paragraph" w:styleId="10">
    <w:name w:val="Date"/>
    <w:basedOn w:val="1"/>
    <w:next w:val="1"/>
    <w:link w:val="31"/>
    <w:qFormat/>
    <w:uiPriority w:val="0"/>
    <w:pPr>
      <w:adjustRightInd w:val="0"/>
      <w:spacing w:line="360" w:lineRule="atLeast"/>
      <w:textAlignment w:val="baseline"/>
    </w:pPr>
    <w:rPr>
      <w:rFonts w:ascii="宋体" w:cs="宋体"/>
      <w:kern w:val="0"/>
      <w:sz w:val="24"/>
      <w:szCs w:val="24"/>
    </w:rPr>
  </w:style>
  <w:style w:type="paragraph" w:styleId="11">
    <w:name w:val="Balloon Text"/>
    <w:basedOn w:val="1"/>
    <w:link w:val="32"/>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Body Text 2"/>
    <w:basedOn w:val="1"/>
    <w:link w:val="33"/>
    <w:qFormat/>
    <w:uiPriority w:val="0"/>
    <w:pPr>
      <w:spacing w:after="120" w:line="480" w:lineRule="auto"/>
    </w:p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5"/>
    <w:next w:val="5"/>
    <w:link w:val="34"/>
    <w:semiHidden/>
    <w:unhideWhenUsed/>
    <w:qFormat/>
    <w:uiPriority w:val="99"/>
    <w:rPr>
      <w:b/>
      <w:bCs/>
    </w:rPr>
  </w:style>
  <w:style w:type="table" w:styleId="20">
    <w:name w:val="Table Grid"/>
    <w:basedOn w:val="1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页眉 Char"/>
    <w:basedOn w:val="21"/>
    <w:link w:val="13"/>
    <w:qFormat/>
    <w:uiPriority w:val="99"/>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2"/>
    <w:qFormat/>
    <w:uiPriority w:val="0"/>
    <w:rPr>
      <w:rFonts w:ascii="Arial" w:hAnsi="Arial" w:eastAsia="黑体" w:cs="Arial"/>
      <w:b/>
      <w:bCs/>
      <w:sz w:val="32"/>
      <w:szCs w:val="32"/>
    </w:rPr>
  </w:style>
  <w:style w:type="character" w:customStyle="1" w:styleId="29">
    <w:name w:val="批注文字 Char"/>
    <w:basedOn w:val="21"/>
    <w:link w:val="5"/>
    <w:semiHidden/>
    <w:qFormat/>
    <w:uiPriority w:val="99"/>
    <w:rPr>
      <w:rFonts w:ascii="Times New Roman" w:hAnsi="Times New Roman" w:eastAsia="宋体" w:cs="Times New Roman"/>
      <w:szCs w:val="21"/>
    </w:rPr>
  </w:style>
  <w:style w:type="character" w:customStyle="1" w:styleId="30">
    <w:name w:val="纯文本 Char"/>
    <w:basedOn w:val="21"/>
    <w:link w:val="9"/>
    <w:qFormat/>
    <w:uiPriority w:val="0"/>
    <w:rPr>
      <w:rFonts w:ascii="宋体" w:hAnsi="Courier New"/>
    </w:rPr>
  </w:style>
  <w:style w:type="character" w:customStyle="1" w:styleId="31">
    <w:name w:val="日期 Char"/>
    <w:basedOn w:val="21"/>
    <w:link w:val="10"/>
    <w:qFormat/>
    <w:uiPriority w:val="0"/>
    <w:rPr>
      <w:rFonts w:ascii="宋体" w:hAnsi="Times New Roman" w:eastAsia="宋体" w:cs="宋体"/>
      <w:kern w:val="0"/>
      <w:sz w:val="24"/>
      <w:szCs w:val="24"/>
    </w:rPr>
  </w:style>
  <w:style w:type="character" w:customStyle="1" w:styleId="32">
    <w:name w:val="批注框文本 Char"/>
    <w:basedOn w:val="21"/>
    <w:link w:val="11"/>
    <w:semiHidden/>
    <w:qFormat/>
    <w:uiPriority w:val="99"/>
    <w:rPr>
      <w:rFonts w:ascii="Times New Roman" w:hAnsi="Times New Roman" w:eastAsia="宋体" w:cs="Times New Roman"/>
      <w:sz w:val="18"/>
      <w:szCs w:val="18"/>
    </w:rPr>
  </w:style>
  <w:style w:type="character" w:customStyle="1" w:styleId="33">
    <w:name w:val="正文文本 2 Char"/>
    <w:basedOn w:val="21"/>
    <w:link w:val="16"/>
    <w:qFormat/>
    <w:uiPriority w:val="0"/>
    <w:rPr>
      <w:rFonts w:ascii="Times New Roman" w:hAnsi="Times New Roman" w:eastAsia="宋体" w:cs="Times New Roman"/>
      <w:szCs w:val="21"/>
    </w:rPr>
  </w:style>
  <w:style w:type="character" w:customStyle="1" w:styleId="34">
    <w:name w:val="批注主题 Char"/>
    <w:basedOn w:val="29"/>
    <w:link w:val="18"/>
    <w:semiHidden/>
    <w:qFormat/>
    <w:uiPriority w:val="99"/>
    <w:rPr>
      <w:rFonts w:ascii="Times New Roman" w:hAnsi="Times New Roman" w:eastAsia="宋体" w:cs="Times New Roman"/>
      <w:b/>
      <w:bCs/>
      <w:szCs w:val="21"/>
    </w:rPr>
  </w:style>
  <w:style w:type="character" w:customStyle="1" w:styleId="35">
    <w:name w:val="纯文本 字符"/>
    <w:basedOn w:val="21"/>
    <w:semiHidden/>
    <w:qFormat/>
    <w:uiPriority w:val="99"/>
    <w:rPr>
      <w:rFonts w:hAnsi="Courier New" w:cs="Courier New" w:asciiTheme="minorEastAsia"/>
      <w:szCs w:val="21"/>
    </w:rPr>
  </w:style>
  <w:style w:type="paragraph" w:styleId="36">
    <w:name w:val="List Paragraph"/>
    <w:basedOn w:val="1"/>
    <w:qFormat/>
    <w:uiPriority w:val="34"/>
    <w:pPr>
      <w:ind w:firstLine="420" w:firstLineChars="200"/>
    </w:pPr>
  </w:style>
  <w:style w:type="paragraph" w:customStyle="1" w:styleId="37">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9">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qowt-font10-gbk"/>
    <w:basedOn w:val="21"/>
    <w:qFormat/>
    <w:uiPriority w:val="0"/>
  </w:style>
  <w:style w:type="table" w:customStyle="1" w:styleId="4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1665</Words>
  <Characters>1775</Characters>
  <Lines>57</Lines>
  <Paragraphs>16</Paragraphs>
  <TotalTime>0</TotalTime>
  <ScaleCrop>false</ScaleCrop>
  <LinksUpToDate>false</LinksUpToDate>
  <CharactersWithSpaces>1847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醉</cp:lastModifiedBy>
  <cp:lastPrinted>2023-10-14T08:00:00Z</cp:lastPrinted>
  <dcterms:modified xsi:type="dcterms:W3CDTF">2024-10-28T06:04:07Z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E99B52924BD94CB1B7C0D4649D0AAB0F</vt:lpwstr>
  </property>
</Properties>
</file>