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iagrams/colors1.xml" ContentType="application/vnd.openxmlformats-officedocument.drawingml.diagramColors+xml"/>
  <Override PartName="/word/diagrams/data1.xml" ContentType="application/vnd.openxmlformats-officedocument.drawingml.diagramData+xml"/>
  <Override PartName="/word/diagrams/drawing1.xml" ContentType="application/vnd.ms-office.drawingml.diagramDrawing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hint="eastAsia" w:ascii="Times New Roman" w:hAnsi="Times New Roman" w:eastAsia="宋体" w:cs="Times New Roman"/>
          <w:szCs w:val="24"/>
        </w:rPr>
      </w:pPr>
      <w:bookmarkStart w:id="0" w:name="_Toc225152729"/>
      <w:bookmarkStart w:id="1" w:name="_Toc405377374"/>
    </w:p>
    <w:p>
      <w:pPr>
        <w:spacing w:line="360" w:lineRule="auto"/>
        <w:rPr>
          <w:rFonts w:ascii="Times New Roman" w:hAnsi="Times New Roman" w:eastAsia="宋体" w:cs="Times New Roman"/>
          <w:szCs w:val="24"/>
        </w:rPr>
      </w:pPr>
    </w:p>
    <w:p>
      <w:pPr>
        <w:jc w:val="center"/>
        <w:rPr>
          <w:rFonts w:ascii="黑体" w:eastAsia="黑体"/>
          <w:b/>
          <w:sz w:val="52"/>
          <w:szCs w:val="52"/>
        </w:rPr>
      </w:pPr>
      <w:r>
        <w:rPr>
          <w:rFonts w:hint="eastAsia" w:ascii="黑体" w:eastAsia="黑体"/>
          <w:b/>
          <w:sz w:val="52"/>
          <w:szCs w:val="52"/>
        </w:rPr>
        <w:t>江西省公共资源电子交易服务平台</w:t>
      </w:r>
    </w:p>
    <w:p>
      <w:pPr>
        <w:jc w:val="center"/>
        <w:rPr>
          <w:rFonts w:ascii="黑体" w:eastAsia="黑体"/>
          <w:b/>
          <w:sz w:val="52"/>
          <w:szCs w:val="52"/>
        </w:rPr>
      </w:pPr>
      <w:r>
        <w:rPr>
          <w:rFonts w:hint="eastAsia" w:ascii="黑体" w:eastAsia="黑体"/>
          <w:b/>
          <w:sz w:val="52"/>
          <w:szCs w:val="52"/>
        </w:rPr>
        <w:t>政府采购子系统</w:t>
      </w:r>
    </w:p>
    <w:p>
      <w:pPr>
        <w:jc w:val="center"/>
        <w:rPr>
          <w:rFonts w:hint="eastAsia" w:ascii="黑体" w:eastAsia="黑体"/>
          <w:b/>
          <w:sz w:val="52"/>
          <w:szCs w:val="52"/>
          <w:lang w:eastAsia="zh-CN"/>
        </w:rPr>
      </w:pPr>
      <w:r>
        <w:rPr>
          <w:rFonts w:hint="eastAsia" w:ascii="黑体" w:eastAsia="黑体"/>
          <w:b/>
          <w:sz w:val="52"/>
          <w:szCs w:val="52"/>
        </w:rPr>
        <w:t>供应商</w:t>
      </w:r>
      <w:r>
        <w:rPr>
          <w:rFonts w:hint="eastAsia" w:ascii="黑体" w:eastAsia="黑体"/>
          <w:b/>
          <w:sz w:val="52"/>
          <w:szCs w:val="52"/>
          <w:lang w:eastAsia="zh-CN"/>
        </w:rPr>
        <w:t>省本级项目投诉功能</w:t>
      </w:r>
    </w:p>
    <w:p>
      <w:pPr>
        <w:jc w:val="center"/>
        <w:rPr>
          <w:rFonts w:ascii="黑体" w:eastAsia="黑体"/>
          <w:b/>
          <w:sz w:val="52"/>
          <w:szCs w:val="52"/>
        </w:rPr>
      </w:pPr>
      <w:r>
        <w:rPr>
          <w:rFonts w:hint="eastAsia" w:ascii="黑体" w:eastAsia="黑体"/>
          <w:b/>
          <w:sz w:val="52"/>
          <w:szCs w:val="52"/>
        </w:rPr>
        <w:t>操作手册</w:t>
      </w: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0" w:firstLineChars="0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0" w:firstLineChars="0"/>
        <w:jc w:val="left"/>
        <w:rPr>
          <w:rFonts w:ascii="宋体" w:hAnsi="宋体"/>
          <w:b/>
          <w:bCs/>
        </w:rPr>
      </w:pPr>
      <w:r>
        <w:rPr>
          <w:rFonts w:hint="eastAsia" w:ascii="宋体" w:hAnsi="宋体"/>
          <w:b/>
          <w:bCs/>
        </w:rPr>
        <w:t xml:space="preserve">   </w:t>
      </w: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pStyle w:val="43"/>
        <w:ind w:firstLine="361"/>
        <w:jc w:val="left"/>
        <w:rPr>
          <w:rFonts w:ascii="宋体" w:hAnsi="宋体"/>
          <w:b/>
          <w:bCs/>
        </w:rPr>
      </w:pPr>
    </w:p>
    <w:p>
      <w:pPr>
        <w:jc w:val="center"/>
        <w:rPr>
          <w:rFonts w:eastAsia="仿宋_GB2312"/>
          <w:b/>
          <w:sz w:val="28"/>
          <w:szCs w:val="28"/>
          <w:shd w:val="pct10" w:color="auto" w:fill="FFFFFF"/>
        </w:rPr>
      </w:pPr>
      <w:r>
        <w:rPr>
          <w:rFonts w:hint="eastAsia" w:eastAsia="仿宋_GB2312"/>
          <w:b/>
          <w:sz w:val="28"/>
          <w:szCs w:val="28"/>
          <w:shd w:val="pct10" w:color="auto" w:fill="FFFFFF"/>
        </w:rPr>
        <w:t>免费技术支持电话：4</w:t>
      </w:r>
      <w:r>
        <w:rPr>
          <w:rFonts w:eastAsia="仿宋_GB2312"/>
          <w:b/>
          <w:sz w:val="28"/>
          <w:szCs w:val="28"/>
          <w:shd w:val="pct10" w:color="auto" w:fill="FFFFFF"/>
        </w:rPr>
        <w:t>00-998-00</w:t>
      </w:r>
      <w:r>
        <w:rPr>
          <w:rFonts w:hint="eastAsia" w:eastAsia="仿宋_GB2312"/>
          <w:b/>
          <w:sz w:val="28"/>
          <w:szCs w:val="28"/>
          <w:shd w:val="pct10" w:color="auto" w:fill="FFFFFF"/>
        </w:rPr>
        <w:t>00</w:t>
      </w:r>
    </w:p>
    <w:p>
      <w:pPr>
        <w:jc w:val="center"/>
        <w:rPr>
          <w:rFonts w:eastAsia="仿宋_GB2312"/>
          <w:b/>
          <w:sz w:val="28"/>
          <w:szCs w:val="28"/>
          <w:shd w:val="pct10" w:color="auto" w:fill="FFFFFF"/>
        </w:rPr>
      </w:pPr>
    </w:p>
    <w:p>
      <w:pPr>
        <w:jc w:val="center"/>
        <w:rPr>
          <w:rFonts w:eastAsia="仿宋_GB2312"/>
          <w:b/>
          <w:sz w:val="28"/>
          <w:szCs w:val="28"/>
          <w:shd w:val="pct10" w:color="auto" w:fill="FFFFFF"/>
        </w:rPr>
      </w:pPr>
    </w:p>
    <w:p>
      <w:pPr>
        <w:jc w:val="center"/>
        <w:rPr>
          <w:rFonts w:eastAsia="仿宋_GB2312"/>
          <w:b/>
          <w:sz w:val="28"/>
          <w:szCs w:val="28"/>
          <w:shd w:val="pct10" w:color="auto" w:fill="FFFFFF"/>
        </w:rPr>
      </w:pPr>
    </w:p>
    <w:p>
      <w:pPr>
        <w:jc w:val="center"/>
        <w:rPr>
          <w:rFonts w:eastAsia="仿宋_GB2312"/>
          <w:b/>
          <w:sz w:val="28"/>
          <w:szCs w:val="28"/>
          <w:shd w:val="pct10" w:color="auto" w:fill="FFFFFF"/>
        </w:rPr>
      </w:pPr>
    </w:p>
    <w:p>
      <w:pPr>
        <w:jc w:val="center"/>
        <w:rPr>
          <w:rFonts w:eastAsia="仿宋_GB2312"/>
          <w:b/>
          <w:sz w:val="28"/>
          <w:szCs w:val="28"/>
          <w:shd w:val="pct10" w:color="auto" w:fill="FFFFFF"/>
        </w:rPr>
      </w:pPr>
    </w:p>
    <w:p>
      <w:pPr>
        <w:widowControl/>
        <w:spacing w:line="360" w:lineRule="auto"/>
        <w:jc w:val="center"/>
        <w:rPr>
          <w:rFonts w:ascii="Times New Roman" w:hAnsi="Times New Roman" w:eastAsia="黑体" w:cs="Times New Roman"/>
          <w:b/>
          <w:sz w:val="36"/>
          <w:szCs w:val="21"/>
        </w:rPr>
      </w:pPr>
      <w:r>
        <w:rPr>
          <w:rFonts w:hint="eastAsia" w:ascii="Times New Roman" w:hAnsi="Times New Roman" w:eastAsia="黑体" w:cs="Times New Roman"/>
          <w:b/>
          <w:sz w:val="36"/>
          <w:szCs w:val="21"/>
        </w:rPr>
        <w:t>目 录</w:t>
      </w:r>
    </w:p>
    <w:p>
      <w:pPr>
        <w:pStyle w:val="18"/>
        <w:tabs>
          <w:tab w:val="right" w:leader="dot" w:pos="8306"/>
        </w:tabs>
      </w:pPr>
      <w:r>
        <w:rPr>
          <w:rFonts w:ascii="Times New Roman" w:hAnsi="Times New Roman" w:eastAsia="黑体" w:cs="Times New Roman"/>
          <w:b/>
          <w:szCs w:val="21"/>
        </w:rPr>
        <w:fldChar w:fldCharType="begin"/>
      </w:r>
      <w:r>
        <w:rPr>
          <w:rFonts w:ascii="Times New Roman" w:hAnsi="Times New Roman" w:eastAsia="黑体" w:cs="Times New Roman"/>
          <w:b/>
          <w:szCs w:val="21"/>
        </w:rPr>
        <w:instrText xml:space="preserve"> </w:instrText>
      </w:r>
      <w:r>
        <w:rPr>
          <w:rFonts w:hint="eastAsia" w:ascii="Times New Roman" w:hAnsi="Times New Roman" w:eastAsia="黑体" w:cs="Times New Roman"/>
          <w:b/>
          <w:szCs w:val="21"/>
        </w:rPr>
        <w:instrText xml:space="preserve">TOC \o "1-3" \h \z \u</w:instrText>
      </w:r>
      <w:r>
        <w:rPr>
          <w:rFonts w:ascii="Times New Roman" w:hAnsi="Times New Roman" w:eastAsia="黑体" w:cs="Times New Roman"/>
          <w:b/>
          <w:szCs w:val="21"/>
        </w:rPr>
        <w:instrText xml:space="preserve"> </w:instrText>
      </w:r>
      <w:r>
        <w:rPr>
          <w:rFonts w:ascii="Times New Roman" w:hAnsi="Times New Roman" w:eastAsia="黑体" w:cs="Times New Roman"/>
          <w:b/>
          <w:szCs w:val="21"/>
        </w:rPr>
        <w:fldChar w:fldCharType="separate"/>
      </w: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_Toc29517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eastAsia"/>
        </w:rPr>
        <w:t>一、平台使用环境和系统前准备</w:t>
      </w:r>
      <w:r>
        <w:tab/>
      </w:r>
      <w:r>
        <w:fldChar w:fldCharType="begin"/>
      </w:r>
      <w:r>
        <w:instrText xml:space="preserve"> PAGEREF _Toc29517 </w:instrText>
      </w:r>
      <w:r>
        <w:fldChar w:fldCharType="separate"/>
      </w:r>
      <w:r>
        <w:t>3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9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_Toc23751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default"/>
        </w:rPr>
        <w:t xml:space="preserve">1.1 </w:t>
      </w:r>
      <w:r>
        <w:rPr>
          <w:rFonts w:hint="eastAsia"/>
        </w:rPr>
        <w:t>平台使用环境要求</w:t>
      </w:r>
      <w:r>
        <w:tab/>
      </w:r>
      <w:r>
        <w:fldChar w:fldCharType="begin"/>
      </w:r>
      <w:r>
        <w:instrText xml:space="preserve"> PAGEREF _Toc23751 </w:instrText>
      </w:r>
      <w:r>
        <w:fldChar w:fldCharType="separate"/>
      </w:r>
      <w:r>
        <w:t>3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9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_Toc12599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default"/>
        </w:rPr>
        <w:t xml:space="preserve">1.2 </w:t>
      </w:r>
      <w:r>
        <w:t>系统前期准备</w:t>
      </w:r>
      <w:r>
        <w:tab/>
      </w:r>
      <w:r>
        <w:fldChar w:fldCharType="begin"/>
      </w:r>
      <w:r>
        <w:instrText xml:space="preserve"> PAGEREF _Toc12599 </w:instrText>
      </w:r>
      <w:r>
        <w:fldChar w:fldCharType="separate"/>
      </w:r>
      <w:r>
        <w:t>4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_Toc31039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eastAsia"/>
        </w:rPr>
        <w:t>1、</w:t>
      </w:r>
      <w:r>
        <w:t>驱动安装说明</w:t>
      </w:r>
      <w:r>
        <w:tab/>
      </w:r>
      <w:r>
        <w:fldChar w:fldCharType="begin"/>
      </w:r>
      <w:r>
        <w:instrText xml:space="preserve"> PAGEREF _Toc31039 </w:instrText>
      </w:r>
      <w:r>
        <w:fldChar w:fldCharType="separate"/>
      </w:r>
      <w:r>
        <w:t>4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9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_Toc18542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default"/>
        </w:rPr>
        <w:t xml:space="preserve">1.3 </w:t>
      </w:r>
      <w:r>
        <w:t>检测工具</w:t>
      </w:r>
      <w:r>
        <w:tab/>
      </w:r>
      <w:r>
        <w:fldChar w:fldCharType="begin"/>
      </w:r>
      <w:r>
        <w:instrText xml:space="preserve"> PAGEREF _Toc18542 </w:instrText>
      </w:r>
      <w:r>
        <w:fldChar w:fldCharType="separate"/>
      </w:r>
      <w:r>
        <w:t>6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_Toc25104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ascii="宋体" w:hAnsi="宋体" w:eastAsia="宋体" w:cs="Times New Roman"/>
        </w:rPr>
        <w:t xml:space="preserve">1、 </w:t>
      </w:r>
      <w:r>
        <w:t>启动检测工具</w:t>
      </w:r>
      <w:r>
        <w:tab/>
      </w:r>
      <w:r>
        <w:fldChar w:fldCharType="begin"/>
      </w:r>
      <w:r>
        <w:instrText xml:space="preserve"> PAGEREF _Toc25104 </w:instrText>
      </w:r>
      <w:r>
        <w:fldChar w:fldCharType="separate"/>
      </w:r>
      <w:r>
        <w:t>6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_Toc12149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ascii="宋体" w:hAnsi="宋体" w:eastAsia="宋体" w:cs="Times New Roman"/>
        </w:rPr>
        <w:t xml:space="preserve">2、 </w:t>
      </w:r>
      <w:r>
        <w:t>系统检测</w:t>
      </w:r>
      <w:r>
        <w:tab/>
      </w:r>
      <w:r>
        <w:fldChar w:fldCharType="begin"/>
      </w:r>
      <w:r>
        <w:instrText xml:space="preserve"> PAGEREF _Toc12149 </w:instrText>
      </w:r>
      <w:r>
        <w:fldChar w:fldCharType="separate"/>
      </w:r>
      <w:r>
        <w:t>6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_Toc709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ascii="宋体" w:hAnsi="宋体" w:eastAsia="宋体" w:cs="Times New Roman"/>
        </w:rPr>
        <w:t xml:space="preserve">3、 </w:t>
      </w:r>
      <w:r>
        <w:t>控件检测</w:t>
      </w:r>
      <w:r>
        <w:tab/>
      </w:r>
      <w:r>
        <w:fldChar w:fldCharType="begin"/>
      </w:r>
      <w:r>
        <w:instrText xml:space="preserve"> PAGEREF _Toc709 </w:instrText>
      </w:r>
      <w:r>
        <w:fldChar w:fldCharType="separate"/>
      </w:r>
      <w:r>
        <w:t>7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_Toc13385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ascii="宋体" w:hAnsi="宋体" w:eastAsia="宋体" w:cs="Times New Roman"/>
        </w:rPr>
        <w:t xml:space="preserve">4、 </w:t>
      </w:r>
      <w:r>
        <w:t>证书检测</w:t>
      </w:r>
      <w:r>
        <w:tab/>
      </w:r>
      <w:r>
        <w:fldChar w:fldCharType="begin"/>
      </w:r>
      <w:r>
        <w:instrText xml:space="preserve"> PAGEREF _Toc13385 </w:instrText>
      </w:r>
      <w:r>
        <w:fldChar w:fldCharType="separate"/>
      </w:r>
      <w:r>
        <w:t>8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4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_Toc17297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ascii="宋体" w:hAnsi="宋体" w:eastAsia="宋体" w:cs="Times New Roman"/>
        </w:rPr>
        <w:t xml:space="preserve">5、 </w:t>
      </w:r>
      <w:r>
        <w:t>签章检测</w:t>
      </w:r>
      <w:r>
        <w:tab/>
      </w:r>
      <w:r>
        <w:fldChar w:fldCharType="begin"/>
      </w:r>
      <w:r>
        <w:instrText xml:space="preserve"> PAGEREF _Toc17297 </w:instrText>
      </w:r>
      <w:r>
        <w:fldChar w:fldCharType="separate"/>
      </w:r>
      <w:r>
        <w:t>9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_Toc30636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eastAsia"/>
        </w:rPr>
        <w:t>二、登陆</w:t>
      </w:r>
      <w:r>
        <w:t>系统</w:t>
      </w:r>
      <w:r>
        <w:tab/>
      </w:r>
      <w:r>
        <w:fldChar w:fldCharType="begin"/>
      </w:r>
      <w:r>
        <w:instrText xml:space="preserve"> PAGEREF _Toc30636 </w:instrText>
      </w:r>
      <w:r>
        <w:fldChar w:fldCharType="separate"/>
      </w:r>
      <w:r>
        <w:t>11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9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_Toc28673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default"/>
        </w:rPr>
        <w:t xml:space="preserve">2.1 </w:t>
      </w:r>
      <w:r>
        <w:rPr>
          <w:rFonts w:hint="eastAsia"/>
        </w:rPr>
        <w:t>登陆系统</w:t>
      </w:r>
      <w:r>
        <w:tab/>
      </w:r>
      <w:r>
        <w:fldChar w:fldCharType="begin"/>
      </w:r>
      <w:r>
        <w:instrText xml:space="preserve"> PAGEREF _Toc28673 </w:instrText>
      </w:r>
      <w:r>
        <w:fldChar w:fldCharType="separate"/>
      </w:r>
      <w:r>
        <w:t>11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9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_Toc29343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default"/>
        </w:rPr>
        <w:t xml:space="preserve">2.2 </w:t>
      </w:r>
      <w:r>
        <w:rPr>
          <w:rFonts w:hint="eastAsia"/>
        </w:rPr>
        <w:t>申请入库</w:t>
      </w:r>
      <w:r>
        <w:tab/>
      </w:r>
      <w:r>
        <w:fldChar w:fldCharType="begin"/>
      </w:r>
      <w:r>
        <w:instrText xml:space="preserve"> PAGEREF _Toc29343 </w:instrText>
      </w:r>
      <w:r>
        <w:fldChar w:fldCharType="separate"/>
      </w:r>
      <w:r>
        <w:t>13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8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_Toc27171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eastAsia"/>
        </w:rPr>
        <w:t>三、</w:t>
      </w:r>
      <w:r>
        <w:rPr>
          <w:rFonts w:hint="eastAsia"/>
          <w:lang w:eastAsia="zh-CN"/>
        </w:rPr>
        <w:t>投诉管理</w:t>
      </w:r>
      <w:r>
        <w:tab/>
      </w:r>
      <w:r>
        <w:fldChar w:fldCharType="begin"/>
      </w:r>
      <w:r>
        <w:instrText xml:space="preserve"> PAGEREF _Toc27171 </w:instrText>
      </w:r>
      <w:r>
        <w:fldChar w:fldCharType="separate"/>
      </w:r>
      <w:r>
        <w:t>15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pStyle w:val="19"/>
        <w:tabs>
          <w:tab w:val="right" w:leader="dot" w:pos="8306"/>
        </w:tabs>
      </w:pPr>
      <w:r>
        <w:rPr>
          <w:rFonts w:ascii="Times New Roman" w:hAnsi="Times New Roman" w:eastAsia="黑体" w:cs="Times New Roman"/>
          <w:szCs w:val="21"/>
        </w:rPr>
        <w:fldChar w:fldCharType="begin"/>
      </w:r>
      <w:r>
        <w:rPr>
          <w:rFonts w:ascii="Times New Roman" w:hAnsi="Times New Roman" w:eastAsia="黑体" w:cs="Times New Roman"/>
          <w:szCs w:val="21"/>
        </w:rPr>
        <w:instrText xml:space="preserve"> HYPERLINK \l _Toc30811 </w:instrText>
      </w:r>
      <w:r>
        <w:rPr>
          <w:rFonts w:ascii="Times New Roman" w:hAnsi="Times New Roman" w:eastAsia="黑体" w:cs="Times New Roman"/>
          <w:szCs w:val="21"/>
        </w:rPr>
        <w:fldChar w:fldCharType="separate"/>
      </w:r>
      <w:r>
        <w:rPr>
          <w:rFonts w:hint="default"/>
        </w:rPr>
        <w:t xml:space="preserve">3.1 </w:t>
      </w:r>
      <w:r>
        <w:rPr>
          <w:rFonts w:hint="eastAsia"/>
          <w:lang w:eastAsia="zh-CN"/>
        </w:rPr>
        <w:t>新增投诉</w:t>
      </w:r>
      <w:r>
        <w:tab/>
      </w:r>
      <w:r>
        <w:fldChar w:fldCharType="begin"/>
      </w:r>
      <w:r>
        <w:instrText xml:space="preserve"> PAGEREF _Toc30811 </w:instrText>
      </w:r>
      <w:r>
        <w:fldChar w:fldCharType="separate"/>
      </w:r>
      <w:r>
        <w:t>15</w:t>
      </w:r>
      <w:r>
        <w:fldChar w:fldCharType="end"/>
      </w: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  <w:r>
        <w:rPr>
          <w:rFonts w:ascii="Times New Roman" w:hAnsi="Times New Roman" w:eastAsia="黑体" w:cs="Times New Roman"/>
          <w:szCs w:val="21"/>
        </w:rPr>
        <w:fldChar w:fldCharType="end"/>
      </w: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widowControl/>
        <w:spacing w:line="360" w:lineRule="auto"/>
        <w:jc w:val="left"/>
        <w:rPr>
          <w:rFonts w:ascii="Times New Roman" w:hAnsi="Times New Roman" w:eastAsia="黑体" w:cs="Times New Roman"/>
          <w:b/>
          <w:szCs w:val="21"/>
        </w:rPr>
      </w:pPr>
    </w:p>
    <w:p>
      <w:pPr>
        <w:pStyle w:val="2"/>
      </w:pPr>
      <w:bookmarkStart w:id="2" w:name="_Toc29517"/>
      <w:bookmarkStart w:id="3" w:name="_Toc405795873"/>
      <w:bookmarkStart w:id="4" w:name="_Toc346701609"/>
      <w:bookmarkStart w:id="5" w:name="_Toc419725520"/>
      <w:bookmarkStart w:id="6" w:name="_Toc346183627"/>
      <w:r>
        <w:rPr>
          <w:rFonts w:hint="eastAsia"/>
        </w:rPr>
        <w:t>一、平台使用环境和系统前准备</w:t>
      </w:r>
      <w:bookmarkEnd w:id="2"/>
    </w:p>
    <w:p/>
    <w:p>
      <w:pPr>
        <w:pStyle w:val="4"/>
      </w:pPr>
      <w:bookmarkStart w:id="7" w:name="_Toc470040524"/>
      <w:bookmarkStart w:id="8" w:name="_Toc324351175"/>
      <w:bookmarkStart w:id="9" w:name="_Toc23751"/>
      <w:r>
        <w:rPr>
          <w:rFonts w:hint="eastAsia"/>
        </w:rPr>
        <w:t>平台使用环境要求</w:t>
      </w:r>
      <w:bookmarkEnd w:id="7"/>
      <w:bookmarkEnd w:id="8"/>
      <w:bookmarkEnd w:id="9"/>
    </w:p>
    <w:p/>
    <w:p/>
    <w:p>
      <w:pPr>
        <w:autoSpaceDE w:val="0"/>
        <w:autoSpaceDN w:val="0"/>
        <w:adjustRightInd w:val="0"/>
        <w:spacing w:line="300" w:lineRule="auto"/>
        <w:ind w:firstLine="560" w:firstLineChars="200"/>
        <w:jc w:val="left"/>
        <w:rPr>
          <w:rFonts w:cs="宋体-WinCharSetFFFF-H" w:asciiTheme="minorEastAsia" w:hAnsiTheme="minorEastAsia"/>
          <w:kern w:val="0"/>
          <w:sz w:val="28"/>
          <w:szCs w:val="28"/>
        </w:rPr>
      </w:pPr>
      <w:r>
        <w:rPr>
          <w:rFonts w:hint="eastAsia" w:asciiTheme="minorEastAsia" w:hAnsiTheme="minorEastAsia"/>
          <w:bCs/>
          <w:sz w:val="28"/>
          <w:szCs w:val="28"/>
        </w:rPr>
        <w:t>1、操作系统要求：</w:t>
      </w:r>
      <w:r>
        <w:rPr>
          <w:rFonts w:hint="eastAsia" w:cs="TimesNewRomanPSMT" w:asciiTheme="minorEastAsia" w:hAnsiTheme="minorEastAsia"/>
          <w:kern w:val="0"/>
          <w:sz w:val="28"/>
          <w:szCs w:val="28"/>
        </w:rPr>
        <w:t>Windows Win7 /Win8/ Win10</w:t>
      </w:r>
      <w:r>
        <w:rPr>
          <w:rFonts w:hint="eastAsia" w:cs="宋体-WinCharSetFFFF-H" w:asciiTheme="minorEastAsia" w:hAnsiTheme="minorEastAsia"/>
          <w:kern w:val="0"/>
          <w:sz w:val="28"/>
          <w:szCs w:val="28"/>
        </w:rPr>
        <w:t>下均可运行，建议使用</w:t>
      </w:r>
      <w:r>
        <w:rPr>
          <w:rFonts w:hint="eastAsia" w:cs="TimesNewRomanPSMT" w:asciiTheme="minorEastAsia" w:hAnsiTheme="minorEastAsia"/>
          <w:kern w:val="0"/>
          <w:sz w:val="28"/>
          <w:szCs w:val="28"/>
        </w:rPr>
        <w:t xml:space="preserve">Win7 </w:t>
      </w:r>
      <w:r>
        <w:rPr>
          <w:rFonts w:hint="eastAsia" w:cs="宋体-WinCharSetFFFF-H" w:asciiTheme="minorEastAsia" w:hAnsiTheme="minorEastAsia"/>
          <w:kern w:val="0"/>
          <w:sz w:val="28"/>
          <w:szCs w:val="28"/>
        </w:rPr>
        <w:t>版本。</w:t>
      </w:r>
    </w:p>
    <w:p>
      <w:pPr>
        <w:autoSpaceDE w:val="0"/>
        <w:autoSpaceDN w:val="0"/>
        <w:adjustRightInd w:val="0"/>
        <w:spacing w:line="300" w:lineRule="auto"/>
        <w:ind w:firstLine="560" w:firstLineChars="20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hint="eastAsia" w:asciiTheme="minorEastAsia" w:hAnsiTheme="minorEastAsia"/>
          <w:bCs/>
          <w:sz w:val="28"/>
          <w:szCs w:val="28"/>
        </w:rPr>
        <w:t>2、浏览器要求：必须使用IE浏览器,IE版本是IE9以上</w:t>
      </w:r>
    </w:p>
    <w:p>
      <w:pPr>
        <w:autoSpaceDE w:val="0"/>
        <w:autoSpaceDN w:val="0"/>
        <w:adjustRightInd w:val="0"/>
        <w:spacing w:line="300" w:lineRule="auto"/>
        <w:ind w:firstLine="560" w:firstLineChars="200"/>
        <w:jc w:val="left"/>
        <w:rPr>
          <w:rFonts w:asciiTheme="minorEastAsia" w:hAnsiTheme="minorEastAsia"/>
          <w:bCs/>
          <w:sz w:val="28"/>
          <w:szCs w:val="28"/>
        </w:rPr>
      </w:pPr>
      <w:r>
        <w:rPr>
          <w:rFonts w:hint="eastAsia" w:asciiTheme="minorEastAsia" w:hAnsiTheme="minorEastAsia"/>
          <w:bCs/>
          <w:sz w:val="28"/>
          <w:szCs w:val="28"/>
        </w:rPr>
        <w:t>3、辅助软件要求：必须安装 微软Office，且必须是完整版office2007或以上版本都可以，</w:t>
      </w:r>
      <w:r>
        <w:rPr>
          <w:rFonts w:hint="eastAsia" w:cs="宋体-WinCharSetFFFF-H" w:asciiTheme="minorEastAsia" w:hAnsiTheme="minorEastAsia"/>
          <w:kern w:val="0"/>
          <w:sz w:val="28"/>
          <w:szCs w:val="28"/>
        </w:rPr>
        <w:t>建议使用office2010。</w:t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pStyle w:val="4"/>
      </w:pPr>
      <w:bookmarkStart w:id="10" w:name="_Toc12599"/>
      <w:r>
        <w:t>系统前期准备</w:t>
      </w:r>
      <w:bookmarkEnd w:id="3"/>
      <w:bookmarkEnd w:id="4"/>
      <w:bookmarkEnd w:id="5"/>
      <w:bookmarkEnd w:id="6"/>
      <w:bookmarkEnd w:id="10"/>
    </w:p>
    <w:p>
      <w:pPr>
        <w:ind w:firstLine="420" w:firstLineChars="200"/>
      </w:pPr>
      <w:r>
        <w:drawing>
          <wp:inline distT="0" distB="0" distL="0" distR="0">
            <wp:extent cx="4627245" cy="588010"/>
            <wp:effectExtent l="0" t="0" r="1905" b="2540"/>
            <wp:docPr id="66" name="图示 6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</w:p>
    <w:p>
      <w:pPr>
        <w:pStyle w:val="5"/>
        <w:numPr>
          <w:ilvl w:val="0"/>
          <w:numId w:val="0"/>
        </w:numPr>
        <w:ind w:left="1418" w:hanging="1418"/>
      </w:pPr>
      <w:bookmarkStart w:id="11" w:name="_Toc346701610"/>
      <w:bookmarkStart w:id="12" w:name="_Toc405795874"/>
      <w:bookmarkStart w:id="13" w:name="_Toc346183628"/>
      <w:bookmarkStart w:id="14" w:name="_Toc419725521"/>
      <w:bookmarkStart w:id="15" w:name="_Toc31039"/>
      <w:r>
        <w:rPr>
          <w:rFonts w:hint="eastAsia"/>
        </w:rPr>
        <w:t>1、</w:t>
      </w:r>
      <w:r>
        <w:t>驱动安装说明</w:t>
      </w:r>
      <w:bookmarkEnd w:id="11"/>
      <w:bookmarkEnd w:id="12"/>
      <w:bookmarkEnd w:id="13"/>
      <w:bookmarkEnd w:id="14"/>
      <w:bookmarkEnd w:id="15"/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drawing>
          <wp:inline distT="0" distB="0" distL="0" distR="0">
            <wp:extent cx="4829175" cy="337185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829175" cy="337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1、点击</w:t>
      </w:r>
      <w:r>
        <w:rPr>
          <w:rFonts w:ascii="Times New Roman" w:hAnsi="Times New Roman" w:eastAsia="宋体" w:cs="Times New Roman"/>
          <w:szCs w:val="24"/>
        </w:rPr>
        <w:t>驱动下载，进入安装页面。</w:t>
      </w:r>
    </w:p>
    <w:p>
      <w:pPr>
        <w:autoSpaceDE w:val="0"/>
        <w:autoSpaceDN w:val="0"/>
        <w:adjustRightInd w:val="0"/>
        <w:spacing w:line="360" w:lineRule="auto"/>
        <w:ind w:right="-20"/>
        <w:jc w:val="center"/>
        <w:rPr>
          <w:rFonts w:ascii="Times New Roman" w:hAnsi="Times New Roman" w:eastAsia="宋体" w:cs="Times New Roman"/>
          <w:spacing w:val="4"/>
          <w:szCs w:val="24"/>
        </w:rPr>
      </w:pPr>
      <w:r>
        <w:drawing>
          <wp:inline distT="0" distB="0" distL="0" distR="0">
            <wp:extent cx="5274310" cy="384365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84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spacing w:line="360" w:lineRule="auto"/>
        <w:ind w:right="-20"/>
        <w:jc w:val="center"/>
        <w:rPr>
          <w:rFonts w:ascii="Times New Roman" w:hAnsi="Times New Roman" w:eastAsia="宋体" w:cs="Times New Roman"/>
          <w:spacing w:val="4"/>
          <w:szCs w:val="24"/>
        </w:rPr>
      </w:pPr>
    </w:p>
    <w:p>
      <w:pPr>
        <w:autoSpaceDE w:val="0"/>
        <w:autoSpaceDN w:val="0"/>
        <w:adjustRightInd w:val="0"/>
        <w:spacing w:line="360" w:lineRule="auto"/>
        <w:ind w:right="-20"/>
        <w:rPr>
          <w:rFonts w:ascii="Times New Roman" w:hAnsi="Times New Roman" w:eastAsia="宋体" w:cs="Times New Roman"/>
          <w:spacing w:val="4"/>
          <w:szCs w:val="24"/>
        </w:rPr>
      </w:pPr>
      <w:r>
        <w:rPr>
          <w:rFonts w:hint="eastAsia" w:ascii="Times New Roman" w:hAnsi="Times New Roman" w:eastAsia="宋体" w:cs="Times New Roman"/>
          <w:spacing w:val="4"/>
          <w:szCs w:val="24"/>
        </w:rPr>
        <w:t>2、</w:t>
      </w:r>
      <w:r>
        <w:rPr>
          <w:rFonts w:ascii="Times New Roman" w:hAnsi="Times New Roman" w:eastAsia="宋体" w:cs="Times New Roman"/>
          <w:spacing w:val="4"/>
          <w:szCs w:val="24"/>
        </w:rPr>
        <w:t>点击</w:t>
      </w:r>
      <w:r>
        <w:rPr>
          <w:rFonts w:hint="eastAsia" w:ascii="Times New Roman" w:hAnsi="Times New Roman" w:eastAsia="宋体" w:cs="Times New Roman"/>
          <w:spacing w:val="4"/>
          <w:szCs w:val="24"/>
        </w:rPr>
        <w:t>完成</w:t>
      </w:r>
    </w:p>
    <w:p>
      <w:pPr>
        <w:autoSpaceDE w:val="0"/>
        <w:autoSpaceDN w:val="0"/>
        <w:adjustRightInd w:val="0"/>
        <w:spacing w:line="360" w:lineRule="auto"/>
        <w:ind w:right="-20"/>
        <w:rPr>
          <w:rFonts w:ascii="Times New Roman" w:hAnsi="Times New Roman" w:eastAsia="宋体" w:cs="Times New Roman"/>
          <w:spacing w:val="4"/>
          <w:szCs w:val="24"/>
        </w:rPr>
      </w:pPr>
      <w:r>
        <w:drawing>
          <wp:inline distT="0" distB="0" distL="0" distR="0">
            <wp:extent cx="4874260" cy="3675380"/>
            <wp:effectExtent l="0" t="0" r="0" b="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79971" cy="3680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spacing w:line="360" w:lineRule="auto"/>
        <w:ind w:right="-20"/>
        <w:jc w:val="center"/>
        <w:rPr>
          <w:rFonts w:ascii="Times New Roman" w:hAnsi="Times New Roman" w:eastAsia="宋体" w:cs="Times New Roman"/>
          <w:spacing w:val="4"/>
          <w:szCs w:val="24"/>
        </w:rPr>
      </w:pPr>
    </w:p>
    <w:p>
      <w:pPr>
        <w:spacing w:line="360" w:lineRule="auto"/>
        <w:rPr>
          <w:rFonts w:ascii="Times New Roman" w:hAnsi="Times New Roman" w:eastAsia="宋体" w:cs="Times New Roman"/>
          <w:b/>
          <w:spacing w:val="4"/>
          <w:sz w:val="24"/>
          <w:szCs w:val="24"/>
        </w:rPr>
      </w:pPr>
    </w:p>
    <w:p>
      <w:pPr>
        <w:pStyle w:val="3"/>
        <w:keepNext/>
        <w:keepLines/>
        <w:numPr>
          <w:ilvl w:val="0"/>
          <w:numId w:val="3"/>
        </w:numPr>
        <w:tabs>
          <w:tab w:val="left" w:pos="425"/>
        </w:tabs>
        <w:spacing w:before="120" w:after="120" w:line="360" w:lineRule="auto"/>
        <w:ind w:firstLineChars="0"/>
        <w:outlineLvl w:val="0"/>
        <w:rPr>
          <w:rFonts w:ascii="Times New Roman" w:hAnsi="Times New Roman" w:eastAsia="宋体" w:cs="Times New Roman"/>
          <w:b/>
          <w:bCs/>
          <w:vanish/>
          <w:kern w:val="44"/>
          <w:sz w:val="32"/>
          <w:szCs w:val="28"/>
        </w:rPr>
      </w:pPr>
      <w:bookmarkStart w:id="16" w:name="_Toc419725523"/>
      <w:bookmarkEnd w:id="16"/>
      <w:bookmarkStart w:id="17" w:name="_Toc470179434"/>
      <w:bookmarkEnd w:id="17"/>
      <w:bookmarkStart w:id="18" w:name="_Toc470184938"/>
      <w:bookmarkEnd w:id="18"/>
      <w:bookmarkStart w:id="19" w:name="_Toc470184993"/>
      <w:bookmarkEnd w:id="19"/>
      <w:bookmarkStart w:id="20" w:name="_Toc470463493"/>
      <w:bookmarkEnd w:id="20"/>
      <w:bookmarkStart w:id="21" w:name="_Toc470463520"/>
      <w:bookmarkEnd w:id="21"/>
      <w:bookmarkStart w:id="22" w:name="_Toc470463580"/>
      <w:bookmarkEnd w:id="22"/>
      <w:bookmarkStart w:id="23" w:name="_Toc10573"/>
      <w:bookmarkEnd w:id="23"/>
      <w:bookmarkStart w:id="24" w:name="_Toc346183633"/>
      <w:bookmarkStart w:id="25" w:name="_Toc346701615"/>
      <w:bookmarkStart w:id="26" w:name="_Toc405795879"/>
    </w:p>
    <w:p>
      <w:pPr>
        <w:pStyle w:val="3"/>
        <w:keepNext/>
        <w:keepLines/>
        <w:numPr>
          <w:ilvl w:val="1"/>
          <w:numId w:val="3"/>
        </w:numPr>
        <w:tabs>
          <w:tab w:val="left" w:pos="567"/>
        </w:tabs>
        <w:spacing w:before="120" w:after="120" w:line="360" w:lineRule="auto"/>
        <w:ind w:firstLineChars="0"/>
        <w:outlineLvl w:val="1"/>
        <w:rPr>
          <w:rFonts w:ascii="Times New Roman" w:hAnsi="Times New Roman" w:eastAsia="宋体" w:cs="Times New Roman"/>
          <w:b/>
          <w:bCs/>
          <w:vanish/>
          <w:sz w:val="30"/>
          <w:szCs w:val="32"/>
        </w:rPr>
      </w:pPr>
      <w:bookmarkStart w:id="27" w:name="_Toc419725524"/>
      <w:bookmarkEnd w:id="27"/>
      <w:bookmarkStart w:id="28" w:name="_Toc470179435"/>
      <w:bookmarkEnd w:id="28"/>
      <w:bookmarkStart w:id="29" w:name="_Toc470184939"/>
      <w:bookmarkEnd w:id="29"/>
      <w:bookmarkStart w:id="30" w:name="_Toc470184994"/>
      <w:bookmarkEnd w:id="30"/>
      <w:bookmarkStart w:id="31" w:name="_Toc470463494"/>
      <w:bookmarkEnd w:id="31"/>
      <w:bookmarkStart w:id="32" w:name="_Toc470463521"/>
      <w:bookmarkEnd w:id="32"/>
      <w:bookmarkStart w:id="33" w:name="_Toc470463581"/>
      <w:bookmarkEnd w:id="33"/>
      <w:bookmarkStart w:id="34" w:name="_Toc14365"/>
      <w:bookmarkEnd w:id="34"/>
    </w:p>
    <w:p>
      <w:pPr>
        <w:pStyle w:val="4"/>
      </w:pPr>
      <w:bookmarkStart w:id="35" w:name="_Toc419725525"/>
      <w:bookmarkStart w:id="36" w:name="_Toc18542"/>
      <w:r>
        <w:t>检测工具</w:t>
      </w:r>
      <w:bookmarkEnd w:id="24"/>
      <w:bookmarkEnd w:id="25"/>
      <w:bookmarkEnd w:id="26"/>
      <w:bookmarkEnd w:id="35"/>
      <w:bookmarkEnd w:id="36"/>
    </w:p>
    <w:p>
      <w:pPr>
        <w:pStyle w:val="3"/>
        <w:keepNext/>
        <w:keepLines/>
        <w:numPr>
          <w:ilvl w:val="1"/>
          <w:numId w:val="2"/>
        </w:numPr>
        <w:spacing w:before="120" w:after="120" w:line="360" w:lineRule="auto"/>
        <w:ind w:firstLineChars="0"/>
        <w:outlineLvl w:val="2"/>
        <w:rPr>
          <w:rFonts w:ascii="Times New Roman" w:hAnsi="Times New Roman" w:eastAsia="宋体" w:cs="Times New Roman"/>
          <w:b/>
          <w:bCs/>
          <w:vanish/>
          <w:sz w:val="28"/>
          <w:szCs w:val="18"/>
        </w:rPr>
      </w:pPr>
      <w:bookmarkStart w:id="37" w:name="_Toc419725526"/>
      <w:bookmarkEnd w:id="37"/>
      <w:bookmarkStart w:id="38" w:name="_Toc470179437"/>
      <w:bookmarkEnd w:id="38"/>
      <w:bookmarkStart w:id="39" w:name="_Toc470184941"/>
      <w:bookmarkEnd w:id="39"/>
      <w:bookmarkStart w:id="40" w:name="_Toc470184996"/>
      <w:bookmarkEnd w:id="40"/>
      <w:bookmarkStart w:id="41" w:name="_Toc470463496"/>
      <w:bookmarkEnd w:id="41"/>
      <w:bookmarkStart w:id="42" w:name="_Toc470463523"/>
      <w:bookmarkEnd w:id="42"/>
      <w:bookmarkStart w:id="43" w:name="_Toc470463583"/>
      <w:bookmarkEnd w:id="43"/>
      <w:bookmarkStart w:id="44" w:name="_Toc21548"/>
      <w:bookmarkEnd w:id="44"/>
      <w:bookmarkStart w:id="45" w:name="_Toc346183634"/>
      <w:bookmarkStart w:id="46" w:name="_Toc346701616"/>
      <w:bookmarkStart w:id="47" w:name="_Toc405795880"/>
    </w:p>
    <w:p>
      <w:pPr>
        <w:pStyle w:val="5"/>
      </w:pPr>
      <w:bookmarkStart w:id="48" w:name="_Toc25104"/>
      <w:bookmarkStart w:id="49" w:name="_Toc419725527"/>
      <w:r>
        <w:t>启动检测工具</w:t>
      </w:r>
      <w:bookmarkEnd w:id="45"/>
      <w:bookmarkEnd w:id="46"/>
      <w:bookmarkEnd w:id="47"/>
      <w:bookmarkEnd w:id="48"/>
      <w:bookmarkEnd w:id="49"/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用户可以点击桌面上的新点检测工具图标来启动检测工具。</w:t>
      </w:r>
    </w:p>
    <w:p>
      <w:pPr>
        <w:spacing w:line="360" w:lineRule="auto"/>
        <w:jc w:val="center"/>
        <w:rPr>
          <w:rFonts w:ascii="Times New Roman" w:hAnsi="Times New Roman" w:eastAsia="宋体" w:cs="Times New Roman"/>
          <w:b/>
          <w:spacing w:val="4"/>
          <w:sz w:val="24"/>
          <w:szCs w:val="24"/>
        </w:rPr>
      </w:pPr>
      <w:r>
        <w:drawing>
          <wp:inline distT="0" distB="0" distL="114300" distR="114300">
            <wp:extent cx="628650" cy="809625"/>
            <wp:effectExtent l="0" t="0" r="0" b="9525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5"/>
      </w:pPr>
      <w:bookmarkStart w:id="50" w:name="_Toc346183635"/>
      <w:bookmarkStart w:id="51" w:name="_Toc346701617"/>
      <w:bookmarkStart w:id="52" w:name="_Toc405795881"/>
      <w:bookmarkStart w:id="53" w:name="_Toc419725528"/>
      <w:bookmarkStart w:id="54" w:name="_Toc12149"/>
      <w:r>
        <w:t>系统检测</w:t>
      </w:r>
      <w:bookmarkEnd w:id="50"/>
      <w:bookmarkEnd w:id="51"/>
      <w:bookmarkEnd w:id="52"/>
      <w:bookmarkEnd w:id="53"/>
      <w:bookmarkEnd w:id="54"/>
    </w:p>
    <w:p>
      <w:pPr>
        <w:spacing w:line="360" w:lineRule="auto"/>
        <w:jc w:val="center"/>
        <w:rPr>
          <w:rFonts w:ascii="Times New Roman" w:hAnsi="Times New Roman" w:eastAsia="宋体" w:cs="Times New Roman"/>
          <w:b/>
          <w:spacing w:val="4"/>
          <w:sz w:val="24"/>
          <w:szCs w:val="24"/>
        </w:rPr>
      </w:pPr>
      <w:r>
        <w:drawing>
          <wp:inline distT="0" distB="0" distL="114300" distR="114300">
            <wp:extent cx="5272405" cy="5429250"/>
            <wp:effectExtent l="0" t="0" r="4445" b="0"/>
            <wp:docPr id="1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5429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该页面主要是进行可信任站点的设置。</w:t>
      </w:r>
    </w:p>
    <w:p>
      <w:pPr>
        <w:spacing w:line="360" w:lineRule="auto"/>
        <w:jc w:val="center"/>
        <w:rPr>
          <w:rFonts w:ascii="Times New Roman" w:hAnsi="Times New Roman" w:eastAsia="宋体" w:cs="Times New Roman"/>
          <w:b/>
          <w:spacing w:val="4"/>
          <w:sz w:val="24"/>
          <w:szCs w:val="24"/>
        </w:rPr>
      </w:pP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如果没有设置，请点击加入可信站点按钮</w:t>
      </w:r>
      <w:r>
        <w:drawing>
          <wp:inline distT="0" distB="0" distL="114300" distR="114300">
            <wp:extent cx="1371600" cy="276225"/>
            <wp:effectExtent l="0" t="0" r="0" b="9525"/>
            <wp:docPr id="38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0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szCs w:val="24"/>
        </w:rPr>
        <w:t>即可。</w:t>
      </w:r>
    </w:p>
    <w:p>
      <w:pPr>
        <w:pStyle w:val="5"/>
      </w:pPr>
      <w:bookmarkStart w:id="55" w:name="_Toc346701618"/>
      <w:bookmarkStart w:id="56" w:name="_Toc405795882"/>
      <w:bookmarkStart w:id="57" w:name="_Toc419725529"/>
      <w:bookmarkStart w:id="58" w:name="_Toc346183636"/>
      <w:bookmarkStart w:id="59" w:name="_Toc709"/>
      <w:r>
        <w:t>控件检测</w:t>
      </w:r>
      <w:bookmarkEnd w:id="55"/>
      <w:bookmarkEnd w:id="56"/>
      <w:bookmarkEnd w:id="57"/>
      <w:bookmarkEnd w:id="58"/>
      <w:bookmarkEnd w:id="59"/>
    </w:p>
    <w:p>
      <w:pPr>
        <w:spacing w:line="360" w:lineRule="auto"/>
        <w:jc w:val="center"/>
        <w:rPr>
          <w:rFonts w:ascii="Times New Roman" w:hAnsi="Times New Roman" w:eastAsia="宋体" w:cs="Times New Roman"/>
          <w:szCs w:val="24"/>
        </w:rPr>
      </w:pPr>
      <w:r>
        <w:drawing>
          <wp:inline distT="0" distB="0" distL="114300" distR="114300">
            <wp:extent cx="5272405" cy="5429250"/>
            <wp:effectExtent l="0" t="0" r="4445" b="0"/>
            <wp:docPr id="1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5429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如果以上都是打勾，系统所需要控件都安装完毕了。</w:t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其中证书Key驱动，需要把您的证书Key插好以后才可以检测出来</w:t>
      </w:r>
      <w:r>
        <w:rPr>
          <w:rFonts w:hint="eastAsia" w:ascii="Times New Roman" w:hAnsi="Times New Roman" w:eastAsia="宋体" w:cs="Times New Roman"/>
          <w:szCs w:val="24"/>
        </w:rPr>
        <w:t>。</w:t>
      </w:r>
    </w:p>
    <w:p>
      <w:pPr>
        <w:spacing w:line="360" w:lineRule="auto"/>
        <w:jc w:val="center"/>
        <w:rPr>
          <w:rFonts w:ascii="Times New Roman" w:hAnsi="Times New Roman" w:eastAsia="宋体" w:cs="Times New Roman"/>
          <w:b/>
          <w:spacing w:val="4"/>
          <w:szCs w:val="24"/>
        </w:rPr>
      </w:pPr>
      <w:r>
        <w:drawing>
          <wp:inline distT="0" distB="0" distL="0" distR="0">
            <wp:extent cx="4091940" cy="4219575"/>
            <wp:effectExtent l="0" t="0" r="0" b="0"/>
            <wp:docPr id="61" name="图片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图片 6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094044" cy="42219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</w:pPr>
      <w:bookmarkStart w:id="60" w:name="_Toc346701619"/>
      <w:bookmarkStart w:id="61" w:name="_Toc405795883"/>
      <w:bookmarkStart w:id="62" w:name="_Toc346183637"/>
      <w:bookmarkStart w:id="63" w:name="_Toc419725530"/>
      <w:bookmarkStart w:id="64" w:name="_Toc13385"/>
      <w:r>
        <w:t>证书检测</w:t>
      </w:r>
      <w:bookmarkEnd w:id="60"/>
      <w:bookmarkEnd w:id="61"/>
      <w:bookmarkEnd w:id="62"/>
      <w:bookmarkEnd w:id="63"/>
      <w:bookmarkEnd w:id="64"/>
    </w:p>
    <w:p>
      <w:pPr>
        <w:spacing w:line="360" w:lineRule="auto"/>
        <w:jc w:val="center"/>
        <w:rPr>
          <w:rFonts w:ascii="Times New Roman" w:hAnsi="Times New Roman" w:eastAsia="宋体" w:cs="Times New Roman"/>
          <w:b/>
          <w:spacing w:val="4"/>
          <w:szCs w:val="24"/>
        </w:rPr>
      </w:pPr>
      <w:r>
        <w:rPr>
          <w:rFonts w:ascii="Times New Roman" w:hAnsi="Times New Roman" w:eastAsia="宋体" w:cs="Times New Roman"/>
          <w:b/>
          <w:spacing w:val="4"/>
          <w:sz w:val="24"/>
          <w:szCs w:val="24"/>
        </w:rPr>
        <w:drawing>
          <wp:inline distT="0" distB="0" distL="0" distR="0">
            <wp:extent cx="3314700" cy="2990850"/>
            <wp:effectExtent l="19050" t="0" r="0" b="0"/>
            <wp:docPr id="50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2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14700" cy="2990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210" w:firstLineChars="1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用户可以点击“立即检测”，选择证书，输入Pin码，</w:t>
      </w:r>
      <w:r>
        <w:rPr>
          <w:rFonts w:hint="eastAsia" w:ascii="Times New Roman" w:hAnsi="Times New Roman" w:eastAsia="宋体" w:cs="Times New Roman"/>
          <w:szCs w:val="24"/>
        </w:rPr>
        <w:t>（</w:t>
      </w:r>
      <w:r>
        <w:rPr>
          <w:rFonts w:hint="eastAsia" w:ascii="Times New Roman" w:hAnsi="Times New Roman" w:eastAsia="宋体" w:cs="Times New Roman"/>
          <w:color w:val="FF0000"/>
          <w:szCs w:val="24"/>
        </w:rPr>
        <w:t>CA锁Pin码：默认111111</w:t>
      </w:r>
      <w:r>
        <w:rPr>
          <w:rFonts w:hint="eastAsia" w:ascii="Times New Roman" w:hAnsi="Times New Roman" w:eastAsia="宋体" w:cs="Times New Roman"/>
          <w:szCs w:val="24"/>
        </w:rPr>
        <w:t>）</w:t>
      </w:r>
      <w:r>
        <w:rPr>
          <w:rFonts w:ascii="Times New Roman" w:hAnsi="Times New Roman" w:eastAsia="宋体" w:cs="Times New Roman"/>
          <w:szCs w:val="24"/>
        </w:rPr>
        <w:t>可以检测该证书Key是否可以正常使用。</w:t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如果出现以下提示，则表示您的证书Key是可以正常使用的，如下图：</w:t>
      </w:r>
    </w:p>
    <w:p>
      <w:pPr>
        <w:spacing w:line="360" w:lineRule="auto"/>
        <w:jc w:val="center"/>
        <w:rPr>
          <w:rFonts w:ascii="Times New Roman" w:hAnsi="Times New Roman" w:eastAsia="宋体" w:cs="Times New Roman"/>
          <w:sz w:val="24"/>
          <w:szCs w:val="24"/>
        </w:rPr>
      </w:pPr>
      <w:r>
        <w:rPr>
          <w:rFonts w:ascii="Times New Roman" w:hAnsi="Times New Roman" w:eastAsia="宋体" w:cs="Times New Roman"/>
          <w:sz w:val="24"/>
          <w:szCs w:val="24"/>
        </w:rPr>
        <w:drawing>
          <wp:inline distT="0" distB="0" distL="0" distR="0">
            <wp:extent cx="3514725" cy="1657350"/>
            <wp:effectExtent l="19050" t="0" r="9525" b="0"/>
            <wp:docPr id="51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23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1657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如果出现以下提示，则出错的原因可能是您的证书Key驱动没有装好或者是证书Key是无法使用的，需重新安装证书Key驱动，或者马上联系该项目CA进行更换。如下图：</w:t>
      </w:r>
    </w:p>
    <w:p>
      <w:pPr>
        <w:spacing w:line="360" w:lineRule="auto"/>
        <w:jc w:val="center"/>
        <w:rPr>
          <w:rFonts w:ascii="Times New Roman" w:hAnsi="Times New Roman" w:eastAsia="宋体" w:cs="Times New Roman"/>
          <w:spacing w:val="4"/>
          <w:szCs w:val="24"/>
        </w:rPr>
      </w:pPr>
      <w:r>
        <w:rPr>
          <w:rFonts w:ascii="Times New Roman" w:hAnsi="Times New Roman" w:eastAsia="宋体" w:cs="Times New Roman"/>
          <w:spacing w:val="4"/>
          <w:szCs w:val="24"/>
        </w:rPr>
        <w:drawing>
          <wp:inline distT="0" distB="0" distL="0" distR="0">
            <wp:extent cx="3429000" cy="1562100"/>
            <wp:effectExtent l="19050" t="0" r="0" b="0"/>
            <wp:docPr id="52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24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5"/>
      </w:pPr>
      <w:bookmarkStart w:id="65" w:name="_Toc346183638"/>
      <w:bookmarkStart w:id="66" w:name="_Toc405795884"/>
      <w:bookmarkStart w:id="67" w:name="_Toc419725531"/>
      <w:bookmarkStart w:id="68" w:name="_Toc346701620"/>
      <w:bookmarkStart w:id="69" w:name="_Toc17297"/>
      <w:r>
        <w:t>签章检测</w:t>
      </w:r>
      <w:bookmarkEnd w:id="65"/>
      <w:bookmarkEnd w:id="66"/>
      <w:bookmarkEnd w:id="67"/>
      <w:bookmarkEnd w:id="68"/>
      <w:bookmarkEnd w:id="69"/>
    </w:p>
    <w:p>
      <w:pPr>
        <w:spacing w:line="360" w:lineRule="auto"/>
        <w:jc w:val="center"/>
        <w:rPr>
          <w:rFonts w:ascii="Times New Roman" w:hAnsi="Times New Roman" w:eastAsia="宋体" w:cs="Times New Roman"/>
          <w:szCs w:val="24"/>
        </w:rPr>
      </w:pPr>
      <w:r>
        <w:drawing>
          <wp:inline distT="0" distB="0" distL="114300" distR="114300">
            <wp:extent cx="5269230" cy="2755265"/>
            <wp:effectExtent l="0" t="0" r="7620" b="6985"/>
            <wp:docPr id="2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6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7552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此页面是用于测试证书Key是否可以正常盖章，请点击</w:t>
      </w:r>
      <w:r>
        <w:drawing>
          <wp:inline distT="0" distB="0" distL="114300" distR="114300">
            <wp:extent cx="800100" cy="323850"/>
            <wp:effectExtent l="0" t="0" r="0" b="0"/>
            <wp:docPr id="2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5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3238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szCs w:val="24"/>
        </w:rPr>
        <w:t>，在出现的窗口中，选择签章的名称和签章的模式，并输入您的证书Key的密码，点击确定按钮。</w:t>
      </w:r>
    </w:p>
    <w:p>
      <w:pPr>
        <w:spacing w:line="360" w:lineRule="auto"/>
        <w:ind w:firstLine="130" w:firstLineChars="62"/>
        <w:jc w:val="center"/>
        <w:rPr>
          <w:rFonts w:ascii="Times New Roman" w:hAnsi="Times New Roman" w:eastAsia="宋体" w:cs="Times New Roman"/>
          <w:spacing w:val="4"/>
          <w:szCs w:val="24"/>
        </w:rPr>
      </w:pPr>
      <w:r>
        <w:drawing>
          <wp:inline distT="0" distB="0" distL="114300" distR="114300">
            <wp:extent cx="4885690" cy="3590290"/>
            <wp:effectExtent l="0" t="0" r="10160" b="10160"/>
            <wp:docPr id="3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8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4885690" cy="35902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如果能成功加盖印章，则证明您的证书Key没有问题。</w:t>
      </w:r>
    </w:p>
    <w:p>
      <w:pPr>
        <w:spacing w:line="360" w:lineRule="auto"/>
        <w:ind w:firstLine="130" w:firstLineChars="62"/>
        <w:jc w:val="center"/>
        <w:rPr>
          <w:rFonts w:ascii="Times New Roman" w:hAnsi="Times New Roman" w:eastAsia="宋体" w:cs="Times New Roman"/>
          <w:spacing w:val="4"/>
          <w:szCs w:val="24"/>
        </w:rPr>
      </w:pPr>
      <w:r>
        <w:drawing>
          <wp:inline distT="0" distB="0" distL="114300" distR="114300">
            <wp:extent cx="5273040" cy="2648585"/>
            <wp:effectExtent l="0" t="0" r="3810" b="18415"/>
            <wp:docPr id="3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9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6485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如果出现其他的提示，请及时和该项目CA联系。</w:t>
      </w: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</w:p>
    <w:p>
      <w:pPr>
        <w:spacing w:line="360" w:lineRule="auto"/>
        <w:ind w:firstLine="420" w:firstLineChars="200"/>
        <w:jc w:val="left"/>
        <w:rPr>
          <w:rFonts w:ascii="Times New Roman" w:hAnsi="Times New Roman" w:eastAsia="宋体" w:cs="Times New Roman"/>
          <w:szCs w:val="24"/>
        </w:rPr>
      </w:pPr>
    </w:p>
    <w:p>
      <w:pPr>
        <w:spacing w:line="360" w:lineRule="auto"/>
        <w:jc w:val="left"/>
        <w:rPr>
          <w:rFonts w:ascii="Times New Roman" w:hAnsi="Times New Roman" w:eastAsia="宋体" w:cs="Times New Roman"/>
          <w:szCs w:val="24"/>
        </w:rPr>
      </w:pPr>
    </w:p>
    <w:p>
      <w:pPr>
        <w:pStyle w:val="2"/>
      </w:pPr>
      <w:bookmarkStart w:id="70" w:name="_Toc30636"/>
      <w:r>
        <w:rPr>
          <w:rFonts w:hint="eastAsia"/>
        </w:rPr>
        <w:t>二、登陆</w:t>
      </w:r>
      <w:r>
        <w:t>系统</w:t>
      </w:r>
      <w:bookmarkEnd w:id="70"/>
    </w:p>
    <w:p>
      <w:pPr>
        <w:pStyle w:val="3"/>
        <w:keepNext/>
        <w:keepLines/>
        <w:numPr>
          <w:ilvl w:val="0"/>
          <w:numId w:val="1"/>
        </w:numPr>
        <w:spacing w:before="120" w:after="120" w:line="360" w:lineRule="auto"/>
        <w:ind w:firstLineChars="0"/>
        <w:outlineLvl w:val="1"/>
        <w:rPr>
          <w:rFonts w:ascii="Times New Roman" w:hAnsi="Times New Roman" w:eastAsia="宋体" w:cs="Times New Roman"/>
          <w:b/>
          <w:bCs/>
          <w:vanish/>
          <w:sz w:val="30"/>
          <w:szCs w:val="32"/>
        </w:rPr>
      </w:pPr>
      <w:bookmarkStart w:id="71" w:name="_Toc423124798"/>
      <w:bookmarkEnd w:id="71"/>
      <w:bookmarkStart w:id="72" w:name="_Toc419725533"/>
      <w:bookmarkEnd w:id="72"/>
      <w:bookmarkStart w:id="73" w:name="_Toc470179444"/>
      <w:bookmarkEnd w:id="73"/>
      <w:bookmarkStart w:id="74" w:name="_Toc470184948"/>
      <w:bookmarkEnd w:id="74"/>
      <w:bookmarkStart w:id="75" w:name="_Toc470185003"/>
      <w:bookmarkEnd w:id="75"/>
      <w:bookmarkStart w:id="76" w:name="_Toc470463503"/>
      <w:bookmarkEnd w:id="76"/>
      <w:bookmarkStart w:id="77" w:name="_Toc470463530"/>
      <w:bookmarkEnd w:id="77"/>
      <w:bookmarkStart w:id="78" w:name="_Toc470463590"/>
      <w:bookmarkEnd w:id="78"/>
      <w:bookmarkStart w:id="79" w:name="_Toc3380"/>
      <w:bookmarkEnd w:id="79"/>
    </w:p>
    <w:p>
      <w:pPr>
        <w:pStyle w:val="4"/>
      </w:pPr>
      <w:bookmarkStart w:id="80" w:name="_Toc28673"/>
      <w:bookmarkStart w:id="81" w:name="_Toc419725534"/>
      <w:r>
        <w:rPr>
          <w:rFonts w:hint="eastAsia"/>
        </w:rPr>
        <w:t>登陆系统</w:t>
      </w:r>
      <w:bookmarkEnd w:id="80"/>
      <w:bookmarkEnd w:id="81"/>
    </w:p>
    <w:p>
      <w:r>
        <w:rPr>
          <w:rFonts w:hint="eastAsia"/>
        </w:rPr>
        <w:t>作为供应商，需登录“江西省公共资源交易网”上，办理并完成网上政府采购相关业务程序。</w:t>
      </w:r>
    </w:p>
    <w:p>
      <w:pPr>
        <w:rPr>
          <w:b/>
        </w:rPr>
      </w:pPr>
      <w:r>
        <w:rPr>
          <w:rFonts w:hint="eastAsia"/>
          <w:b/>
        </w:rPr>
        <w:t>新平台网址：</w:t>
      </w:r>
    </w:p>
    <w:p>
      <w:pPr>
        <w:rPr>
          <w:rFonts w:hint="eastAsia"/>
          <w:b/>
        </w:rPr>
      </w:pPr>
      <w:r>
        <w:rPr>
          <w:rFonts w:hint="eastAsia"/>
          <w:b/>
        </w:rPr>
        <w:t>http://www.jxsggzy.cn/web/</w:t>
      </w:r>
    </w:p>
    <w:p>
      <w:pPr>
        <w:rPr>
          <w:b/>
          <w:color w:val="FF0000"/>
        </w:rPr>
      </w:pPr>
    </w:p>
    <w:p>
      <w:pPr>
        <w:rPr>
          <w:b/>
          <w:color w:val="FF0000"/>
        </w:rPr>
      </w:pPr>
      <w:r>
        <w:rPr>
          <w:rFonts w:hint="eastAsia"/>
          <w:b/>
          <w:color w:val="FF0000"/>
        </w:rPr>
        <w:t>建议浏览器使用IE</w:t>
      </w:r>
      <w:r>
        <w:rPr>
          <w:rFonts w:hint="eastAsia"/>
          <w:b/>
          <w:color w:val="FF0000"/>
          <w:lang w:val="en-US" w:eastAsia="zh-CN"/>
        </w:rPr>
        <w:t>9</w:t>
      </w:r>
      <w:r>
        <w:rPr>
          <w:rFonts w:hint="eastAsia"/>
          <w:b/>
          <w:color w:val="FF0000"/>
        </w:rPr>
        <w:t>及以上版本的浏览器，配置好浏览器兼容性视图、添加可信任站点等操作。</w:t>
      </w:r>
    </w:p>
    <w:p>
      <w:pPr>
        <w:rPr>
          <w:b/>
          <w:color w:val="FF0000"/>
        </w:rPr>
      </w:pPr>
    </w:p>
    <w:p/>
    <w:p/>
    <w:p>
      <w:r>
        <w:rPr>
          <w:rFonts w:hint="eastAsia"/>
        </w:rPr>
        <w:t>门户网站界面效果展示如下图所示：</w:t>
      </w:r>
    </w:p>
    <w:p>
      <w:pPr>
        <w:jc w:val="center"/>
      </w:pPr>
      <w:r>
        <w:drawing>
          <wp:inline distT="0" distB="0" distL="114300" distR="114300">
            <wp:extent cx="5266055" cy="3106420"/>
            <wp:effectExtent l="0" t="0" r="10795" b="17780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1064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箭头所指方向为交易主体（</w:t>
      </w:r>
      <w:r>
        <w:rPr>
          <w:rFonts w:hint="eastAsia"/>
          <w:b/>
        </w:rPr>
        <w:t>供应商</w:t>
      </w:r>
      <w:r>
        <w:rPr>
          <w:rFonts w:hint="eastAsia"/>
        </w:rPr>
        <w:t>、采购单位、采购代理等交易主体）统一登录窗口。</w:t>
      </w:r>
    </w:p>
    <w:p/>
    <w:p>
      <w:pPr>
        <w:numPr>
          <w:ilvl w:val="0"/>
          <w:numId w:val="4"/>
        </w:numPr>
      </w:pPr>
      <w:r>
        <w:rPr>
          <w:rFonts w:hint="eastAsia"/>
        </w:rPr>
        <w:t>注册账号，点击右下角免费注册按钮，进入注册界面</w:t>
      </w:r>
    </w:p>
    <w:p>
      <w:pPr>
        <w:numPr>
          <w:numId w:val="0"/>
        </w:numPr>
        <w:ind w:left="420" w:leftChars="0"/>
        <w:rPr>
          <w:rFonts w:hint="default" w:eastAsiaTheme="minorEastAsia"/>
          <w:lang w:val="en-US" w:eastAsia="zh-CN"/>
        </w:rPr>
      </w:pPr>
      <w:r>
        <w:rPr>
          <w:rFonts w:hint="eastAsia"/>
          <w:lang w:eastAsia="zh-CN"/>
        </w:rPr>
        <w:t>说明：红色标记字体为</w:t>
      </w:r>
      <w:r>
        <w:rPr>
          <w:rFonts w:hint="eastAsia"/>
          <w:lang w:val="en-US" w:eastAsia="zh-CN"/>
        </w:rPr>
        <w:t>ca锁办理地点和联系方式。</w:t>
      </w:r>
      <w:bookmarkStart w:id="93" w:name="_GoBack"/>
      <w:bookmarkEnd w:id="93"/>
    </w:p>
    <w:p>
      <w:pPr>
        <w:ind w:left="420"/>
      </w:pPr>
      <w:r>
        <w:drawing>
          <wp:inline distT="0" distB="0" distL="114300" distR="114300">
            <wp:extent cx="5264785" cy="3207385"/>
            <wp:effectExtent l="0" t="0" r="12065" b="1206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3207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420"/>
      </w:pPr>
    </w:p>
    <w:p>
      <w:pPr>
        <w:ind w:left="420"/>
      </w:pPr>
      <w:r>
        <w:rPr>
          <w:rFonts w:hint="eastAsia"/>
        </w:rPr>
        <w:t>等待5秒后点击同意按钮，填写网员信息</w:t>
      </w:r>
    </w:p>
    <w:p>
      <w:pPr>
        <w:spacing w:line="360" w:lineRule="auto"/>
        <w:ind w:left="420"/>
        <w:jc w:val="left"/>
      </w:pPr>
      <w:r>
        <w:drawing>
          <wp:inline distT="0" distB="0" distL="114300" distR="114300">
            <wp:extent cx="5268595" cy="2839085"/>
            <wp:effectExtent l="0" t="0" r="8255" b="1841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839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ind w:left="420"/>
        <w:jc w:val="left"/>
      </w:pPr>
      <w:r>
        <w:drawing>
          <wp:inline distT="0" distB="0" distL="114300" distR="114300">
            <wp:extent cx="5268595" cy="2839085"/>
            <wp:effectExtent l="0" t="0" r="8255" b="18415"/>
            <wp:docPr id="5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1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839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</w:pPr>
      <w:bookmarkStart w:id="82" w:name="_Toc29343"/>
      <w:r>
        <w:rPr>
          <w:rFonts w:hint="eastAsia"/>
        </w:rPr>
        <w:t>申请入库</w:t>
      </w:r>
      <w:bookmarkEnd w:id="82"/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重要说明：针对已经在或者将来要在江西省公共资源交易系统进行线上交易（包括报名、电子标文件制作、保证金缴纳）的用户，需前往江西省</w:t>
      </w:r>
      <w:r>
        <w:rPr>
          <w:rFonts w:hint="eastAsia"/>
          <w:lang w:val="en-US" w:eastAsia="zh-CN"/>
        </w:rPr>
        <w:t>ca数字认证中心</w:t>
      </w:r>
      <w:r>
        <w:rPr>
          <w:rFonts w:hint="eastAsia"/>
          <w:lang w:eastAsia="zh-CN"/>
        </w:rPr>
        <w:t>办理电子秘钥。可以进行入库工作；如果不需要入库只需要发布投诉处理的用户，无需办理电子秘钥，进入供应商页面后可直接在投诉管理中进行新增投诉。</w:t>
      </w:r>
    </w:p>
    <w:bookmarkEnd w:id="0"/>
    <w:bookmarkEnd w:id="1"/>
    <w:p>
      <w:r>
        <w:rPr>
          <w:rFonts w:hint="eastAsia"/>
        </w:rPr>
        <w:t>1、点击登录按钮之后，需要选择用户的身份类型，界面效果展示如下图所示：</w:t>
      </w:r>
    </w:p>
    <w:p>
      <w:pPr>
        <w:jc w:val="center"/>
      </w:pPr>
      <w:r>
        <w:drawing>
          <wp:inline distT="0" distB="0" distL="0" distR="0">
            <wp:extent cx="3247390" cy="2056765"/>
            <wp:effectExtent l="0" t="0" r="0" b="63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3247619" cy="20571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rFonts w:hint="eastAsia"/>
        </w:rPr>
        <w:t>注：如果为初次登录系统的单位，系统会给出相应提示，如下图所示：</w:t>
      </w:r>
    </w:p>
    <w:p>
      <w:pPr>
        <w:jc w:val="center"/>
      </w:pPr>
      <w:r>
        <w:drawing>
          <wp:inline distT="0" distB="0" distL="0" distR="0">
            <wp:extent cx="4762500" cy="2109470"/>
            <wp:effectExtent l="0" t="0" r="0" b="0"/>
            <wp:docPr id="243" name="图片 2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图片 243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761905" cy="2109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b/>
          <w:color w:val="FF0000"/>
        </w:rPr>
      </w:pPr>
      <w:r>
        <w:rPr>
          <w:rFonts w:hint="eastAsia"/>
          <w:b/>
          <w:color w:val="FF0000"/>
        </w:rPr>
        <w:t>单位需修改并完善用户库基本信息并且审核通过之后，才可以进行采购业务操作。</w:t>
      </w:r>
    </w:p>
    <w:p>
      <w:pPr>
        <w:rPr>
          <w:rFonts w:hint="eastAsia"/>
          <w:b/>
          <w:color w:val="FF0000"/>
        </w:rPr>
      </w:pPr>
    </w:p>
    <w:p>
      <w:pPr>
        <w:numPr>
          <w:ilvl w:val="0"/>
          <w:numId w:val="0"/>
        </w:numPr>
        <w:rPr>
          <w:rFonts w:hint="eastAsia"/>
          <w:b w:val="0"/>
          <w:bCs/>
          <w:color w:val="000000" w:themeColor="text1"/>
          <w:lang w:val="en-US" w:eastAsia="zh-CN"/>
        </w:rPr>
      </w:pPr>
      <w:r>
        <w:rPr>
          <w:rFonts w:hint="eastAsia"/>
          <w:b w:val="0"/>
          <w:bCs/>
          <w:color w:val="000000" w:themeColor="text1"/>
          <w:lang w:val="en-US" w:eastAsia="zh-CN"/>
        </w:rPr>
        <w:t>2、进入供应商身份，打开“江西ca海泰用户工具”查看ca锁名称，确保与系统中注册的单位名称一致（否则需修改锁中或系统中的单位名称，保持统一），在电脑USB口中插入ca锁点击读锁，再点击激活即可完成绑锁，绑锁完成之后再点击基本信息提交即可，显示“验证通过”即完成入库。刷新页面（或退出重登）即可看到业务菜单进行业务操作。</w:t>
      </w:r>
    </w:p>
    <w:p>
      <w:pPr>
        <w:numPr>
          <w:ilvl w:val="0"/>
          <w:numId w:val="0"/>
        </w:numPr>
        <w:ind w:left="420" w:leftChars="0"/>
        <w:rPr>
          <w:rFonts w:hint="eastAsia"/>
          <w:b w:val="0"/>
          <w:bCs/>
          <w:color w:val="000000" w:themeColor="text1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b w:val="0"/>
          <w:bCs/>
          <w:color w:val="000000" w:themeColor="text1"/>
          <w:lang w:val="en-US" w:eastAsia="zh-CN"/>
        </w:rPr>
      </w:pPr>
      <w:r>
        <w:rPr>
          <w:rFonts w:hint="eastAsia"/>
          <w:b w:val="0"/>
          <w:bCs/>
          <w:color w:val="000000" w:themeColor="text1"/>
          <w:lang w:val="en-US" w:eastAsia="zh-CN"/>
        </w:rPr>
        <w:t>注：一旦绑定ca锁后续直接使用ca锁登录即可，密码为办理ca时的密码（一般为6个1），如密码不记得，请前往ca公司进行初始化，ca锁非本公司产品。</w:t>
      </w:r>
    </w:p>
    <w:p>
      <w:r>
        <w:drawing>
          <wp:inline distT="0" distB="0" distL="114300" distR="114300">
            <wp:extent cx="5802630" cy="2506980"/>
            <wp:effectExtent l="0" t="0" r="7620" b="7620"/>
            <wp:docPr id="1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2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802630" cy="25069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5273040" cy="2301875"/>
            <wp:effectExtent l="0" t="0" r="3810" b="3175"/>
            <wp:docPr id="1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301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left="60"/>
        <w:rPr>
          <w:vanish/>
        </w:rPr>
      </w:pPr>
    </w:p>
    <w:p>
      <w:pPr>
        <w:pStyle w:val="2"/>
        <w:rPr>
          <w:rFonts w:hint="eastAsia" w:eastAsia="宋体"/>
          <w:lang w:eastAsia="zh-CN"/>
        </w:rPr>
      </w:pPr>
      <w:bookmarkStart w:id="83" w:name="_Toc27171"/>
      <w:r>
        <w:rPr>
          <w:rFonts w:hint="eastAsia"/>
        </w:rPr>
        <w:t>三、</w:t>
      </w:r>
      <w:r>
        <w:rPr>
          <w:rFonts w:hint="eastAsia"/>
          <w:lang w:eastAsia="zh-CN"/>
        </w:rPr>
        <w:t>投诉管理</w:t>
      </w:r>
      <w:bookmarkEnd w:id="83"/>
    </w:p>
    <w:p>
      <w:pPr>
        <w:pStyle w:val="3"/>
        <w:keepNext/>
        <w:keepLines/>
        <w:numPr>
          <w:ilvl w:val="0"/>
          <w:numId w:val="1"/>
        </w:numPr>
        <w:spacing w:before="120" w:after="120" w:line="360" w:lineRule="auto"/>
        <w:ind w:firstLineChars="0"/>
        <w:outlineLvl w:val="1"/>
        <w:rPr>
          <w:rFonts w:ascii="Times New Roman" w:hAnsi="Times New Roman" w:eastAsia="宋体" w:cs="Times New Roman"/>
          <w:b/>
          <w:bCs/>
          <w:vanish/>
          <w:sz w:val="30"/>
          <w:szCs w:val="32"/>
        </w:rPr>
      </w:pPr>
      <w:bookmarkStart w:id="84" w:name="_Toc423124802"/>
      <w:bookmarkEnd w:id="84"/>
      <w:bookmarkStart w:id="85" w:name="_Toc470179448"/>
      <w:bookmarkEnd w:id="85"/>
      <w:bookmarkStart w:id="86" w:name="_Toc470184952"/>
      <w:bookmarkEnd w:id="86"/>
      <w:bookmarkStart w:id="87" w:name="_Toc470185007"/>
      <w:bookmarkEnd w:id="87"/>
      <w:bookmarkStart w:id="88" w:name="_Toc470463507"/>
      <w:bookmarkEnd w:id="88"/>
      <w:bookmarkStart w:id="89" w:name="_Toc470463534"/>
      <w:bookmarkEnd w:id="89"/>
      <w:bookmarkStart w:id="90" w:name="_Toc470463594"/>
      <w:bookmarkEnd w:id="90"/>
      <w:bookmarkStart w:id="91" w:name="_Toc17448"/>
      <w:bookmarkEnd w:id="91"/>
    </w:p>
    <w:p>
      <w:pPr>
        <w:pStyle w:val="4"/>
      </w:pPr>
      <w:bookmarkStart w:id="92" w:name="_Toc30811"/>
      <w:r>
        <w:rPr>
          <w:rFonts w:hint="eastAsia"/>
          <w:lang w:eastAsia="zh-CN"/>
        </w:rPr>
        <w:t>新增投诉</w:t>
      </w:r>
      <w:bookmarkEnd w:id="92"/>
    </w:p>
    <w:p>
      <w:r>
        <w:rPr>
          <w:rFonts w:hint="eastAsia"/>
          <w:lang w:eastAsia="zh-CN"/>
        </w:rPr>
        <w:t>①打开“投诉管理”下投诉功能，点击“新增投诉”，进入投诉信息填写页面。</w:t>
      </w:r>
    </w:p>
    <w:p>
      <w:r>
        <w:drawing>
          <wp:inline distT="0" distB="0" distL="114300" distR="114300">
            <wp:extent cx="5675630" cy="2518410"/>
            <wp:effectExtent l="0" t="0" r="1270" b="15240"/>
            <wp:docPr id="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5675630" cy="2518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②注意红色字体提示，按照省财政厅采购监管处要求，目前投诉功能只建设省本级投诉功能，其他地区的按照之前线下流程去进行。</w:t>
      </w:r>
    </w:p>
    <w:p>
      <w:r>
        <w:drawing>
          <wp:inline distT="0" distB="0" distL="114300" distR="114300">
            <wp:extent cx="5882640" cy="2540635"/>
            <wp:effectExtent l="0" t="0" r="3810" b="12065"/>
            <wp:docPr id="2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882640" cy="2540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eastAsia="zh-CN"/>
        </w:rPr>
      </w:pPr>
      <w:r>
        <w:rPr>
          <w:rFonts w:hint="eastAsia"/>
          <w:lang w:eastAsia="zh-CN"/>
        </w:rPr>
        <w:t>③完成信息填写后，电子件管理中可进行下载“投诉书”模板，完成并盖章后上传至电子件管理中，另按照省财政厅采购监管处的要求快递相关的纸质文件。</w:t>
      </w:r>
    </w:p>
    <w:p>
      <w:r>
        <w:drawing>
          <wp:inline distT="0" distB="0" distL="114300" distR="114300">
            <wp:extent cx="6042660" cy="1907540"/>
            <wp:effectExtent l="0" t="0" r="15240" b="16510"/>
            <wp:docPr id="2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3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042660" cy="1907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④填写完成之后点击“确认发送”，项目将处于受理中，待省财政厅采购监管处审核通过后，项目经处于已受理，当文件有问题被退回，项目将处于未受理，请重新按照要求修改提交。</w:t>
      </w:r>
    </w:p>
    <w:p>
      <w:r>
        <w:drawing>
          <wp:inline distT="0" distB="0" distL="114300" distR="114300">
            <wp:extent cx="6037580" cy="1995805"/>
            <wp:effectExtent l="0" t="0" r="1270" b="4445"/>
            <wp:docPr id="28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4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6037580" cy="1995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b/>
          <w:color w:val="FF0000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宋体-WinCharSetFFFF-H">
    <w:altName w:val="方正行楷简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行楷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6"/>
      <w:jc w:val="center"/>
      <w:rPr>
        <w:caps/>
        <w:color w:val="000000" w:themeColor="text1"/>
      </w:rPr>
    </w:pPr>
    <w:r>
      <w:rPr>
        <w:caps/>
        <w:color w:val="000000" w:themeColor="text1"/>
      </w:rPr>
      <w:fldChar w:fldCharType="begin"/>
    </w:r>
    <w:r>
      <w:rPr>
        <w:caps/>
        <w:color w:val="000000" w:themeColor="text1"/>
      </w:rPr>
      <w:instrText xml:space="preserve">PAGE   \* MERGEFORMAT</w:instrText>
    </w:r>
    <w:r>
      <w:rPr>
        <w:caps/>
        <w:color w:val="000000" w:themeColor="text1"/>
      </w:rPr>
      <w:fldChar w:fldCharType="separate"/>
    </w:r>
    <w:r>
      <w:rPr>
        <w:caps/>
        <w:color w:val="000000" w:themeColor="text1"/>
        <w:lang w:val="zh-CN"/>
      </w:rPr>
      <w:t>20</w:t>
    </w:r>
    <w:r>
      <w:rPr>
        <w:caps/>
        <w:color w:val="000000" w:themeColor="text1"/>
      </w:rPr>
      <w:fldChar w:fldCharType="end"/>
    </w:r>
  </w:p>
  <w:p>
    <w:pPr>
      <w:pStyle w:val="16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7"/>
      <w:ind w:firstLine="1080" w:firstLineChars="600"/>
      <w:jc w:val="both"/>
    </w:pPr>
    <w:r>
      <w:rPr>
        <w:rFonts w:hint="eastAsia"/>
      </w:rPr>
      <w:t>江西省公共资源电子交易服务平台政府采购子系统－供应商操作手册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BF2DBB"/>
    <w:multiLevelType w:val="multilevel"/>
    <w:tmpl w:val="47BF2DBB"/>
    <w:lvl w:ilvl="0" w:tentative="0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5C4C21CA"/>
    <w:multiLevelType w:val="multilevel"/>
    <w:tmpl w:val="5C4C21CA"/>
    <w:lvl w:ilvl="0" w:tentative="0">
      <w:start w:val="1"/>
      <w:numFmt w:val="decimal"/>
      <w:lvlText w:val="%1"/>
      <w:lvlJc w:val="left"/>
      <w:pPr>
        <w:ind w:left="425" w:hanging="425"/>
      </w:pPr>
      <w:rPr>
        <w:rFonts w:hint="eastAsia"/>
        <w:lang w:val="en-US"/>
      </w:rPr>
    </w:lvl>
    <w:lvl w:ilvl="1" w:tentative="0">
      <w:start w:val="1"/>
      <w:numFmt w:val="decimal"/>
      <w:lvlText w:val="%1.%2"/>
      <w:lvlJc w:val="left"/>
      <w:pPr>
        <w:ind w:left="992" w:hanging="567"/>
      </w:pPr>
      <w:rPr>
        <w:rFonts w:hint="eastAsia"/>
        <w:color w:val="auto"/>
        <w:sz w:val="30"/>
        <w:szCs w:val="30"/>
      </w:rPr>
    </w:lvl>
    <w:lvl w:ilvl="2" w:tentative="0">
      <w:start w:val="1"/>
      <w:numFmt w:val="decimal"/>
      <w:lvlText w:val="%1.%2.%3"/>
      <w:lvlJc w:val="left"/>
      <w:pPr>
        <w:ind w:left="1418" w:hanging="567"/>
      </w:pPr>
      <w:rPr>
        <w:rFonts w:hint="eastAsia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</w:rPr>
    </w:lvl>
    <w:lvl w:ilvl="3" w:tentative="0">
      <w:start w:val="1"/>
      <w:numFmt w:val="decimal"/>
      <w:pStyle w:val="6"/>
      <w:suff w:val="space"/>
      <w:lvlText w:val="%1.%2.%3.%4"/>
      <w:lvlJc w:val="left"/>
      <w:pPr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2">
    <w:nsid w:val="6A2F4AB3"/>
    <w:multiLevelType w:val="multilevel"/>
    <w:tmpl w:val="6A2F4AB3"/>
    <w:lvl w:ilvl="0" w:tentative="0">
      <w:start w:val="1"/>
      <w:numFmt w:val="decimal"/>
      <w:lvlText w:val="%1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pStyle w:val="4"/>
      <w:suff w:val="space"/>
      <w:lvlText w:val="%1.%2"/>
      <w:lvlJc w:val="left"/>
      <w:pPr>
        <w:ind w:left="0" w:firstLine="0"/>
      </w:pPr>
      <w:rPr>
        <w:rFonts w:hint="default"/>
      </w:rPr>
    </w:lvl>
    <w:lvl w:ilvl="2" w:tentative="0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position w:val="0"/>
        <w:u w:val="none"/>
        <w:vertAlign w:val="baseline"/>
      </w:rPr>
    </w:lvl>
    <w:lvl w:ilvl="3" w:tentative="0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  <w:sz w:val="24"/>
        <w:szCs w:val="24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default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abstractNum w:abstractNumId="3">
    <w:nsid w:val="705668A4"/>
    <w:multiLevelType w:val="multilevel"/>
    <w:tmpl w:val="705668A4"/>
    <w:lvl w:ilvl="0" w:tentative="0">
      <w:start w:val="1"/>
      <w:numFmt w:val="decimal"/>
      <w:lvlText w:val="%1"/>
      <w:lvlJc w:val="left"/>
      <w:pPr>
        <w:ind w:left="425" w:hanging="425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ind w:left="992" w:hanging="567"/>
      </w:pPr>
      <w:rPr>
        <w:rFonts w:hint="eastAsia"/>
      </w:rPr>
    </w:lvl>
    <w:lvl w:ilvl="2" w:tentative="0">
      <w:start w:val="1"/>
      <w:numFmt w:val="decimal"/>
      <w:pStyle w:val="5"/>
      <w:suff w:val="space"/>
      <w:lvlText w:val="%3、"/>
      <w:lvlJc w:val="left"/>
      <w:pPr>
        <w:ind w:left="1418" w:hanging="1418"/>
      </w:pPr>
      <w:rPr>
        <w:rFonts w:ascii="宋体" w:hAnsi="宋体" w:eastAsia="宋体" w:cs="Times New Roman"/>
      </w:rPr>
    </w:lvl>
    <w:lvl w:ilvl="3" w:tentative="0">
      <w:start w:val="1"/>
      <w:numFmt w:val="decimal"/>
      <w:suff w:val="space"/>
      <w:lvlText w:val="%1.%2.%3.%4"/>
      <w:lvlJc w:val="left"/>
      <w:pPr>
        <w:ind w:left="0" w:firstLine="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ind w:left="2551" w:hanging="85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ind w:left="3260" w:hanging="1134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ind w:left="3827" w:hanging="1276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ind w:left="4394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  <w:rPr>
        <w:rFonts w:hint="eastAsia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33DA9"/>
    <w:rsid w:val="000038D7"/>
    <w:rsid w:val="00011485"/>
    <w:rsid w:val="00017395"/>
    <w:rsid w:val="00020619"/>
    <w:rsid w:val="00020C53"/>
    <w:rsid w:val="00022425"/>
    <w:rsid w:val="00031FFD"/>
    <w:rsid w:val="00052D61"/>
    <w:rsid w:val="0007183B"/>
    <w:rsid w:val="00090078"/>
    <w:rsid w:val="0009497E"/>
    <w:rsid w:val="000A6B38"/>
    <w:rsid w:val="000D0FDE"/>
    <w:rsid w:val="000D4674"/>
    <w:rsid w:val="0010547C"/>
    <w:rsid w:val="00117524"/>
    <w:rsid w:val="00143362"/>
    <w:rsid w:val="00147670"/>
    <w:rsid w:val="001A0618"/>
    <w:rsid w:val="001D004F"/>
    <w:rsid w:val="001D1944"/>
    <w:rsid w:val="001D2467"/>
    <w:rsid w:val="001D2692"/>
    <w:rsid w:val="0021206F"/>
    <w:rsid w:val="0021480E"/>
    <w:rsid w:val="002209F0"/>
    <w:rsid w:val="002274EE"/>
    <w:rsid w:val="00242574"/>
    <w:rsid w:val="00251EF7"/>
    <w:rsid w:val="00254C2B"/>
    <w:rsid w:val="0026327E"/>
    <w:rsid w:val="00275682"/>
    <w:rsid w:val="00285911"/>
    <w:rsid w:val="002A27E2"/>
    <w:rsid w:val="002A2D22"/>
    <w:rsid w:val="002A2E60"/>
    <w:rsid w:val="00312D60"/>
    <w:rsid w:val="00315591"/>
    <w:rsid w:val="00315D0D"/>
    <w:rsid w:val="00325F84"/>
    <w:rsid w:val="00343E16"/>
    <w:rsid w:val="00360CCC"/>
    <w:rsid w:val="00362D2A"/>
    <w:rsid w:val="003A296C"/>
    <w:rsid w:val="003B0DBF"/>
    <w:rsid w:val="003C28CF"/>
    <w:rsid w:val="003F3664"/>
    <w:rsid w:val="00404234"/>
    <w:rsid w:val="00436C28"/>
    <w:rsid w:val="0044793F"/>
    <w:rsid w:val="004743D1"/>
    <w:rsid w:val="00491608"/>
    <w:rsid w:val="004973AD"/>
    <w:rsid w:val="004A1FE6"/>
    <w:rsid w:val="004A6857"/>
    <w:rsid w:val="004B6669"/>
    <w:rsid w:val="004D0CC8"/>
    <w:rsid w:val="004D5470"/>
    <w:rsid w:val="005046BA"/>
    <w:rsid w:val="00511F4F"/>
    <w:rsid w:val="00533514"/>
    <w:rsid w:val="00540E6C"/>
    <w:rsid w:val="00575F94"/>
    <w:rsid w:val="005D56A9"/>
    <w:rsid w:val="005E14CF"/>
    <w:rsid w:val="005E6D55"/>
    <w:rsid w:val="0062143F"/>
    <w:rsid w:val="00633DA9"/>
    <w:rsid w:val="0067330C"/>
    <w:rsid w:val="0067524E"/>
    <w:rsid w:val="00676216"/>
    <w:rsid w:val="006802E8"/>
    <w:rsid w:val="006A0D7E"/>
    <w:rsid w:val="006D6C22"/>
    <w:rsid w:val="006F1646"/>
    <w:rsid w:val="006F44F3"/>
    <w:rsid w:val="0071084F"/>
    <w:rsid w:val="00712F44"/>
    <w:rsid w:val="00725AFE"/>
    <w:rsid w:val="007520D9"/>
    <w:rsid w:val="007552A5"/>
    <w:rsid w:val="007578EC"/>
    <w:rsid w:val="0076597F"/>
    <w:rsid w:val="00772ED9"/>
    <w:rsid w:val="007843F1"/>
    <w:rsid w:val="00791328"/>
    <w:rsid w:val="007B09CF"/>
    <w:rsid w:val="007D0B67"/>
    <w:rsid w:val="007D31F1"/>
    <w:rsid w:val="00855CAF"/>
    <w:rsid w:val="008567F1"/>
    <w:rsid w:val="00861687"/>
    <w:rsid w:val="008751F4"/>
    <w:rsid w:val="00880B52"/>
    <w:rsid w:val="00884A78"/>
    <w:rsid w:val="008867C3"/>
    <w:rsid w:val="00890EDB"/>
    <w:rsid w:val="008A6CBC"/>
    <w:rsid w:val="008C6AC9"/>
    <w:rsid w:val="008C6D0C"/>
    <w:rsid w:val="008C78AE"/>
    <w:rsid w:val="008D7BD5"/>
    <w:rsid w:val="008F1615"/>
    <w:rsid w:val="008F43E3"/>
    <w:rsid w:val="009039ED"/>
    <w:rsid w:val="00917236"/>
    <w:rsid w:val="00922DAC"/>
    <w:rsid w:val="009263F0"/>
    <w:rsid w:val="00927441"/>
    <w:rsid w:val="0092785B"/>
    <w:rsid w:val="00934DB1"/>
    <w:rsid w:val="00952EE3"/>
    <w:rsid w:val="00963B87"/>
    <w:rsid w:val="00983C08"/>
    <w:rsid w:val="00991989"/>
    <w:rsid w:val="00996361"/>
    <w:rsid w:val="009B35F4"/>
    <w:rsid w:val="009B4C5E"/>
    <w:rsid w:val="009C426C"/>
    <w:rsid w:val="009E18C2"/>
    <w:rsid w:val="009E5B4D"/>
    <w:rsid w:val="009F3106"/>
    <w:rsid w:val="009F7E5F"/>
    <w:rsid w:val="00A10833"/>
    <w:rsid w:val="00A12673"/>
    <w:rsid w:val="00A210D9"/>
    <w:rsid w:val="00A266B5"/>
    <w:rsid w:val="00A772A8"/>
    <w:rsid w:val="00A86151"/>
    <w:rsid w:val="00A87CD6"/>
    <w:rsid w:val="00A96C36"/>
    <w:rsid w:val="00AB4AC9"/>
    <w:rsid w:val="00AB6D96"/>
    <w:rsid w:val="00AB6FA8"/>
    <w:rsid w:val="00AD0227"/>
    <w:rsid w:val="00B04E67"/>
    <w:rsid w:val="00B2444B"/>
    <w:rsid w:val="00B463C7"/>
    <w:rsid w:val="00B61FE5"/>
    <w:rsid w:val="00B6375F"/>
    <w:rsid w:val="00B7391A"/>
    <w:rsid w:val="00B7590A"/>
    <w:rsid w:val="00B87E53"/>
    <w:rsid w:val="00B95E38"/>
    <w:rsid w:val="00B9778A"/>
    <w:rsid w:val="00BD313F"/>
    <w:rsid w:val="00C05337"/>
    <w:rsid w:val="00C25A8E"/>
    <w:rsid w:val="00C37AC0"/>
    <w:rsid w:val="00C50DBA"/>
    <w:rsid w:val="00C5242E"/>
    <w:rsid w:val="00CD773F"/>
    <w:rsid w:val="00CE4378"/>
    <w:rsid w:val="00CF6993"/>
    <w:rsid w:val="00D04205"/>
    <w:rsid w:val="00D7409F"/>
    <w:rsid w:val="00D86921"/>
    <w:rsid w:val="00D86DC2"/>
    <w:rsid w:val="00DA3C4F"/>
    <w:rsid w:val="00DC3CBD"/>
    <w:rsid w:val="00DD52E7"/>
    <w:rsid w:val="00DD769E"/>
    <w:rsid w:val="00DF3383"/>
    <w:rsid w:val="00E11D8E"/>
    <w:rsid w:val="00E44794"/>
    <w:rsid w:val="00E60219"/>
    <w:rsid w:val="00E61E8F"/>
    <w:rsid w:val="00E84031"/>
    <w:rsid w:val="00E93009"/>
    <w:rsid w:val="00EE3B51"/>
    <w:rsid w:val="00F03586"/>
    <w:rsid w:val="00F10A54"/>
    <w:rsid w:val="00F32CDB"/>
    <w:rsid w:val="00F505CD"/>
    <w:rsid w:val="00F659FC"/>
    <w:rsid w:val="00F86FEE"/>
    <w:rsid w:val="00F87CCC"/>
    <w:rsid w:val="00FA43D7"/>
    <w:rsid w:val="00FA6F98"/>
    <w:rsid w:val="00FC0E3C"/>
    <w:rsid w:val="00FE587A"/>
    <w:rsid w:val="00FE6E5B"/>
    <w:rsid w:val="02F42B18"/>
    <w:rsid w:val="046309CB"/>
    <w:rsid w:val="0620565E"/>
    <w:rsid w:val="11A217B2"/>
    <w:rsid w:val="193075EE"/>
    <w:rsid w:val="1F5E045F"/>
    <w:rsid w:val="23102552"/>
    <w:rsid w:val="24C67CD2"/>
    <w:rsid w:val="2F5777C9"/>
    <w:rsid w:val="3DB45DA8"/>
    <w:rsid w:val="43661C71"/>
    <w:rsid w:val="52FC0670"/>
    <w:rsid w:val="5472320D"/>
    <w:rsid w:val="576A4E7D"/>
    <w:rsid w:val="5C9F7C0E"/>
    <w:rsid w:val="604C485B"/>
    <w:rsid w:val="65EB2098"/>
    <w:rsid w:val="68BE619D"/>
    <w:rsid w:val="6F6D6963"/>
    <w:rsid w:val="6F9F5DEE"/>
    <w:rsid w:val="76083D12"/>
    <w:rsid w:val="7C6F4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3"/>
    <w:next w:val="1"/>
    <w:link w:val="27"/>
    <w:qFormat/>
    <w:uiPriority w:val="0"/>
    <w:pPr>
      <w:keepNext/>
      <w:keepLines/>
      <w:spacing w:before="120" w:after="120" w:line="360" w:lineRule="auto"/>
      <w:ind w:firstLine="0" w:firstLineChars="0"/>
      <w:outlineLvl w:val="0"/>
    </w:pPr>
    <w:rPr>
      <w:rFonts w:ascii="Times New Roman" w:hAnsi="Times New Roman" w:eastAsia="宋体" w:cs="Times New Roman"/>
      <w:b/>
      <w:bCs/>
      <w:kern w:val="44"/>
      <w:sz w:val="32"/>
      <w:szCs w:val="28"/>
    </w:rPr>
  </w:style>
  <w:style w:type="paragraph" w:styleId="4">
    <w:name w:val="heading 2"/>
    <w:basedOn w:val="1"/>
    <w:next w:val="1"/>
    <w:link w:val="28"/>
    <w:qFormat/>
    <w:uiPriority w:val="0"/>
    <w:pPr>
      <w:keepNext/>
      <w:keepLines/>
      <w:numPr>
        <w:ilvl w:val="1"/>
        <w:numId w:val="1"/>
      </w:numPr>
      <w:spacing w:before="120" w:after="120" w:line="360" w:lineRule="auto"/>
      <w:outlineLvl w:val="1"/>
    </w:pPr>
    <w:rPr>
      <w:rFonts w:ascii="Times New Roman" w:hAnsi="Times New Roman" w:eastAsia="宋体" w:cs="Times New Roman"/>
      <w:b/>
      <w:bCs/>
      <w:sz w:val="30"/>
      <w:szCs w:val="32"/>
    </w:rPr>
  </w:style>
  <w:style w:type="paragraph" w:styleId="5">
    <w:name w:val="heading 3"/>
    <w:basedOn w:val="1"/>
    <w:next w:val="1"/>
    <w:link w:val="29"/>
    <w:qFormat/>
    <w:uiPriority w:val="0"/>
    <w:pPr>
      <w:keepNext/>
      <w:keepLines/>
      <w:numPr>
        <w:ilvl w:val="2"/>
        <w:numId w:val="2"/>
      </w:numPr>
      <w:spacing w:before="120" w:after="120" w:line="360" w:lineRule="auto"/>
      <w:outlineLvl w:val="2"/>
    </w:pPr>
    <w:rPr>
      <w:rFonts w:ascii="Times New Roman" w:hAnsi="Times New Roman" w:eastAsia="宋体" w:cs="Times New Roman"/>
      <w:b/>
      <w:bCs/>
      <w:sz w:val="28"/>
      <w:szCs w:val="18"/>
    </w:rPr>
  </w:style>
  <w:style w:type="paragraph" w:styleId="6">
    <w:name w:val="heading 4"/>
    <w:basedOn w:val="1"/>
    <w:next w:val="1"/>
    <w:link w:val="30"/>
    <w:qFormat/>
    <w:uiPriority w:val="0"/>
    <w:pPr>
      <w:keepNext/>
      <w:keepLines/>
      <w:numPr>
        <w:ilvl w:val="3"/>
        <w:numId w:val="3"/>
      </w:numPr>
      <w:tabs>
        <w:tab w:val="left" w:pos="504"/>
      </w:tabs>
      <w:spacing w:before="120" w:after="120" w:line="360" w:lineRule="auto"/>
      <w:outlineLvl w:val="3"/>
    </w:pPr>
    <w:rPr>
      <w:rFonts w:ascii="Times New Roman" w:hAnsi="Arial" w:eastAsia="宋体" w:cs="Times New Roman"/>
      <w:b/>
      <w:bCs/>
      <w:sz w:val="24"/>
      <w:szCs w:val="28"/>
    </w:rPr>
  </w:style>
  <w:style w:type="paragraph" w:styleId="7">
    <w:name w:val="heading 5"/>
    <w:basedOn w:val="1"/>
    <w:next w:val="1"/>
    <w:link w:val="31"/>
    <w:qFormat/>
    <w:uiPriority w:val="0"/>
    <w:pPr>
      <w:keepNext/>
      <w:keepLines/>
      <w:spacing w:before="280" w:after="290" w:line="372" w:lineRule="auto"/>
      <w:jc w:val="left"/>
      <w:outlineLvl w:val="4"/>
    </w:pPr>
    <w:rPr>
      <w:rFonts w:ascii="Times New Roman" w:hAnsi="Times New Roman" w:eastAsia="宋体" w:cs="Times New Roman"/>
      <w:b/>
      <w:bCs/>
      <w:sz w:val="28"/>
      <w:szCs w:val="28"/>
    </w:rPr>
  </w:style>
  <w:style w:type="paragraph" w:styleId="8">
    <w:name w:val="heading 6"/>
    <w:basedOn w:val="7"/>
    <w:next w:val="1"/>
    <w:link w:val="32"/>
    <w:qFormat/>
    <w:uiPriority w:val="0"/>
    <w:pPr>
      <w:tabs>
        <w:tab w:val="left" w:pos="1440"/>
      </w:tabs>
      <w:spacing w:before="260" w:after="260" w:line="360" w:lineRule="auto"/>
      <w:outlineLvl w:val="5"/>
    </w:pPr>
    <w:rPr>
      <w:sz w:val="30"/>
      <w:szCs w:val="18"/>
    </w:rPr>
  </w:style>
  <w:style w:type="paragraph" w:styleId="9">
    <w:name w:val="heading 7"/>
    <w:basedOn w:val="8"/>
    <w:next w:val="1"/>
    <w:link w:val="33"/>
    <w:qFormat/>
    <w:uiPriority w:val="0"/>
    <w:pPr>
      <w:tabs>
        <w:tab w:val="left" w:pos="1800"/>
        <w:tab w:val="clear" w:pos="1440"/>
      </w:tabs>
      <w:outlineLvl w:val="6"/>
    </w:pPr>
  </w:style>
  <w:style w:type="paragraph" w:styleId="10">
    <w:name w:val="heading 8"/>
    <w:basedOn w:val="9"/>
    <w:next w:val="1"/>
    <w:link w:val="34"/>
    <w:qFormat/>
    <w:uiPriority w:val="0"/>
    <w:pPr>
      <w:outlineLvl w:val="7"/>
    </w:pPr>
  </w:style>
  <w:style w:type="paragraph" w:styleId="11">
    <w:name w:val="heading 9"/>
    <w:basedOn w:val="10"/>
    <w:next w:val="1"/>
    <w:link w:val="35"/>
    <w:qFormat/>
    <w:uiPriority w:val="0"/>
    <w:pPr>
      <w:tabs>
        <w:tab w:val="left" w:pos="2160"/>
        <w:tab w:val="clear" w:pos="1800"/>
      </w:tabs>
      <w:outlineLvl w:val="8"/>
    </w:pPr>
  </w:style>
  <w:style w:type="character" w:default="1" w:styleId="22">
    <w:name w:val="Default Paragraph Font"/>
    <w:semiHidden/>
    <w:unhideWhenUsed/>
    <w:qFormat/>
    <w:uiPriority w:val="1"/>
  </w:style>
  <w:style w:type="table" w:default="1" w:styleId="2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列出段落1"/>
    <w:basedOn w:val="1"/>
    <w:qFormat/>
    <w:uiPriority w:val="34"/>
    <w:pPr>
      <w:ind w:firstLine="420" w:firstLineChars="200"/>
    </w:pPr>
  </w:style>
  <w:style w:type="paragraph" w:styleId="12">
    <w:name w:val="Document Map"/>
    <w:basedOn w:val="1"/>
    <w:link w:val="39"/>
    <w:unhideWhenUsed/>
    <w:qFormat/>
    <w:uiPriority w:val="99"/>
    <w:rPr>
      <w:rFonts w:ascii="宋体" w:eastAsia="宋体"/>
      <w:sz w:val="18"/>
      <w:szCs w:val="18"/>
    </w:rPr>
  </w:style>
  <w:style w:type="paragraph" w:styleId="13">
    <w:name w:val="annotation text"/>
    <w:basedOn w:val="1"/>
    <w:link w:val="40"/>
    <w:unhideWhenUsed/>
    <w:qFormat/>
    <w:uiPriority w:val="99"/>
    <w:pPr>
      <w:jc w:val="left"/>
    </w:pPr>
  </w:style>
  <w:style w:type="paragraph" w:styleId="14">
    <w:name w:val="toc 3"/>
    <w:basedOn w:val="1"/>
    <w:next w:val="1"/>
    <w:unhideWhenUsed/>
    <w:uiPriority w:val="39"/>
    <w:pPr>
      <w:ind w:left="840" w:leftChars="400"/>
    </w:pPr>
  </w:style>
  <w:style w:type="paragraph" w:styleId="15">
    <w:name w:val="Balloon Text"/>
    <w:basedOn w:val="1"/>
    <w:link w:val="38"/>
    <w:unhideWhenUsed/>
    <w:qFormat/>
    <w:uiPriority w:val="99"/>
    <w:rPr>
      <w:sz w:val="18"/>
      <w:szCs w:val="18"/>
    </w:rPr>
  </w:style>
  <w:style w:type="paragraph" w:styleId="16">
    <w:name w:val="footer"/>
    <w:basedOn w:val="1"/>
    <w:link w:val="2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7">
    <w:name w:val="header"/>
    <w:basedOn w:val="1"/>
    <w:link w:val="2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8">
    <w:name w:val="toc 1"/>
    <w:basedOn w:val="1"/>
    <w:next w:val="1"/>
    <w:unhideWhenUsed/>
    <w:qFormat/>
    <w:uiPriority w:val="39"/>
  </w:style>
  <w:style w:type="paragraph" w:styleId="19">
    <w:name w:val="toc 2"/>
    <w:basedOn w:val="1"/>
    <w:next w:val="1"/>
    <w:unhideWhenUsed/>
    <w:qFormat/>
    <w:uiPriority w:val="39"/>
    <w:pPr>
      <w:ind w:left="420" w:leftChars="200"/>
    </w:pPr>
  </w:style>
  <w:style w:type="paragraph" w:styleId="20">
    <w:name w:val="annotation subject"/>
    <w:basedOn w:val="13"/>
    <w:next w:val="13"/>
    <w:link w:val="41"/>
    <w:unhideWhenUsed/>
    <w:qFormat/>
    <w:uiPriority w:val="99"/>
    <w:rPr>
      <w:b/>
      <w:bCs/>
    </w:rPr>
  </w:style>
  <w:style w:type="character" w:styleId="23">
    <w:name w:val="Hyperlink"/>
    <w:basedOn w:val="22"/>
    <w:unhideWhenUsed/>
    <w:qFormat/>
    <w:uiPriority w:val="99"/>
    <w:rPr>
      <w:color w:val="0000FF" w:themeColor="hyperlink"/>
      <w:u w:val="single"/>
    </w:rPr>
  </w:style>
  <w:style w:type="character" w:styleId="24">
    <w:name w:val="annotation reference"/>
    <w:basedOn w:val="22"/>
    <w:unhideWhenUsed/>
    <w:qFormat/>
    <w:uiPriority w:val="99"/>
    <w:rPr>
      <w:sz w:val="21"/>
      <w:szCs w:val="21"/>
    </w:rPr>
  </w:style>
  <w:style w:type="character" w:customStyle="1" w:styleId="25">
    <w:name w:val="页眉 Char"/>
    <w:basedOn w:val="22"/>
    <w:link w:val="17"/>
    <w:qFormat/>
    <w:uiPriority w:val="99"/>
    <w:rPr>
      <w:sz w:val="18"/>
      <w:szCs w:val="18"/>
    </w:rPr>
  </w:style>
  <w:style w:type="character" w:customStyle="1" w:styleId="26">
    <w:name w:val="页脚 Char"/>
    <w:basedOn w:val="22"/>
    <w:link w:val="16"/>
    <w:qFormat/>
    <w:uiPriority w:val="99"/>
    <w:rPr>
      <w:sz w:val="18"/>
      <w:szCs w:val="18"/>
    </w:rPr>
  </w:style>
  <w:style w:type="character" w:customStyle="1" w:styleId="27">
    <w:name w:val="标题 1 Char"/>
    <w:basedOn w:val="22"/>
    <w:link w:val="2"/>
    <w:qFormat/>
    <w:uiPriority w:val="0"/>
    <w:rPr>
      <w:rFonts w:ascii="Times New Roman" w:hAnsi="Times New Roman" w:eastAsia="宋体" w:cs="Times New Roman"/>
      <w:b/>
      <w:bCs/>
      <w:kern w:val="44"/>
      <w:sz w:val="32"/>
      <w:szCs w:val="28"/>
    </w:rPr>
  </w:style>
  <w:style w:type="character" w:customStyle="1" w:styleId="28">
    <w:name w:val="标题 2 Char"/>
    <w:basedOn w:val="22"/>
    <w:link w:val="4"/>
    <w:qFormat/>
    <w:uiPriority w:val="0"/>
    <w:rPr>
      <w:rFonts w:ascii="Times New Roman" w:hAnsi="Times New Roman" w:eastAsia="宋体" w:cs="Times New Roman"/>
      <w:b/>
      <w:bCs/>
      <w:kern w:val="2"/>
      <w:sz w:val="30"/>
      <w:szCs w:val="32"/>
    </w:rPr>
  </w:style>
  <w:style w:type="character" w:customStyle="1" w:styleId="29">
    <w:name w:val="标题 3 Char"/>
    <w:basedOn w:val="22"/>
    <w:link w:val="5"/>
    <w:qFormat/>
    <w:uiPriority w:val="0"/>
    <w:rPr>
      <w:rFonts w:ascii="Times New Roman" w:hAnsi="Times New Roman" w:eastAsia="宋体" w:cs="Times New Roman"/>
      <w:b/>
      <w:bCs/>
      <w:sz w:val="28"/>
      <w:szCs w:val="18"/>
    </w:rPr>
  </w:style>
  <w:style w:type="character" w:customStyle="1" w:styleId="30">
    <w:name w:val="标题 4 Char"/>
    <w:basedOn w:val="22"/>
    <w:link w:val="6"/>
    <w:qFormat/>
    <w:uiPriority w:val="0"/>
    <w:rPr>
      <w:rFonts w:ascii="Times New Roman" w:hAnsi="Arial" w:eastAsia="宋体" w:cs="Times New Roman"/>
      <w:b/>
      <w:bCs/>
      <w:sz w:val="24"/>
      <w:szCs w:val="28"/>
    </w:rPr>
  </w:style>
  <w:style w:type="character" w:customStyle="1" w:styleId="31">
    <w:name w:val="标题 5 Char"/>
    <w:basedOn w:val="22"/>
    <w:link w:val="7"/>
    <w:qFormat/>
    <w:uiPriority w:val="0"/>
    <w:rPr>
      <w:rFonts w:ascii="Times New Roman" w:hAnsi="Times New Roman" w:eastAsia="宋体" w:cs="Times New Roman"/>
      <w:b/>
      <w:bCs/>
      <w:sz w:val="28"/>
      <w:szCs w:val="28"/>
    </w:rPr>
  </w:style>
  <w:style w:type="character" w:customStyle="1" w:styleId="32">
    <w:name w:val="标题 6 Char"/>
    <w:basedOn w:val="22"/>
    <w:link w:val="8"/>
    <w:qFormat/>
    <w:uiPriority w:val="0"/>
    <w:rPr>
      <w:rFonts w:ascii="Times New Roman" w:hAnsi="Times New Roman" w:eastAsia="宋体" w:cs="Times New Roman"/>
      <w:b/>
      <w:bCs/>
      <w:sz w:val="30"/>
      <w:szCs w:val="18"/>
    </w:rPr>
  </w:style>
  <w:style w:type="character" w:customStyle="1" w:styleId="33">
    <w:name w:val="标题 7 Char"/>
    <w:basedOn w:val="22"/>
    <w:link w:val="9"/>
    <w:uiPriority w:val="0"/>
    <w:rPr>
      <w:rFonts w:ascii="Times New Roman" w:hAnsi="Times New Roman" w:eastAsia="宋体" w:cs="Times New Roman"/>
      <w:b/>
      <w:bCs/>
      <w:sz w:val="30"/>
      <w:szCs w:val="18"/>
    </w:rPr>
  </w:style>
  <w:style w:type="character" w:customStyle="1" w:styleId="34">
    <w:name w:val="标题 8 Char"/>
    <w:basedOn w:val="22"/>
    <w:link w:val="10"/>
    <w:qFormat/>
    <w:uiPriority w:val="0"/>
    <w:rPr>
      <w:rFonts w:ascii="Times New Roman" w:hAnsi="Times New Roman" w:eastAsia="宋体" w:cs="Times New Roman"/>
      <w:b/>
      <w:bCs/>
      <w:sz w:val="30"/>
      <w:szCs w:val="18"/>
    </w:rPr>
  </w:style>
  <w:style w:type="character" w:customStyle="1" w:styleId="35">
    <w:name w:val="标题 9 Char"/>
    <w:basedOn w:val="22"/>
    <w:link w:val="11"/>
    <w:qFormat/>
    <w:uiPriority w:val="0"/>
    <w:rPr>
      <w:rFonts w:ascii="Times New Roman" w:hAnsi="Times New Roman" w:eastAsia="宋体" w:cs="Times New Roman"/>
      <w:b/>
      <w:bCs/>
      <w:sz w:val="30"/>
      <w:szCs w:val="18"/>
    </w:rPr>
  </w:style>
  <w:style w:type="paragraph" w:customStyle="1" w:styleId="36">
    <w:name w:val="1"/>
    <w:basedOn w:val="1"/>
    <w:link w:val="37"/>
    <w:qFormat/>
    <w:uiPriority w:val="0"/>
    <w:pPr>
      <w:spacing w:line="360" w:lineRule="auto"/>
      <w:jc w:val="left"/>
    </w:pPr>
    <w:rPr>
      <w:rFonts w:ascii="Times New Roman" w:hAnsi="Times New Roman" w:eastAsia="宋体" w:cs="Times New Roman"/>
      <w:szCs w:val="24"/>
    </w:rPr>
  </w:style>
  <w:style w:type="character" w:customStyle="1" w:styleId="37">
    <w:name w:val="1 Char"/>
    <w:basedOn w:val="22"/>
    <w:link w:val="36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38">
    <w:name w:val="批注框文本 Char"/>
    <w:basedOn w:val="22"/>
    <w:link w:val="15"/>
    <w:semiHidden/>
    <w:qFormat/>
    <w:uiPriority w:val="99"/>
    <w:rPr>
      <w:sz w:val="18"/>
      <w:szCs w:val="18"/>
    </w:rPr>
  </w:style>
  <w:style w:type="character" w:customStyle="1" w:styleId="39">
    <w:name w:val="文档结构图 Char"/>
    <w:basedOn w:val="22"/>
    <w:link w:val="12"/>
    <w:semiHidden/>
    <w:uiPriority w:val="99"/>
    <w:rPr>
      <w:rFonts w:ascii="宋体" w:eastAsia="宋体"/>
      <w:sz w:val="18"/>
      <w:szCs w:val="18"/>
    </w:rPr>
  </w:style>
  <w:style w:type="character" w:customStyle="1" w:styleId="40">
    <w:name w:val="批注文字 Char"/>
    <w:basedOn w:val="22"/>
    <w:link w:val="13"/>
    <w:semiHidden/>
    <w:qFormat/>
    <w:uiPriority w:val="99"/>
  </w:style>
  <w:style w:type="character" w:customStyle="1" w:styleId="41">
    <w:name w:val="批注主题 Char"/>
    <w:basedOn w:val="40"/>
    <w:link w:val="20"/>
    <w:semiHidden/>
    <w:qFormat/>
    <w:uiPriority w:val="99"/>
    <w:rPr>
      <w:b/>
      <w:bCs/>
    </w:rPr>
  </w:style>
  <w:style w:type="paragraph" w:styleId="42">
    <w:name w:val="List Paragraph"/>
    <w:basedOn w:val="1"/>
    <w:unhideWhenUsed/>
    <w:uiPriority w:val="99"/>
    <w:pPr>
      <w:ind w:firstLine="420" w:firstLineChars="200"/>
    </w:pPr>
  </w:style>
  <w:style w:type="paragraph" w:customStyle="1" w:styleId="43">
    <w:name w:val="Indent Normal"/>
    <w:basedOn w:val="1"/>
    <w:qFormat/>
    <w:uiPriority w:val="0"/>
    <w:pPr>
      <w:ind w:firstLine="150" w:firstLineChars="150"/>
    </w:pPr>
    <w:rPr>
      <w:rFonts w:ascii="Times New Roman" w:hAnsi="Times New Roman" w:eastAsia="宋体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diagramColors" Target="diagrams/colors1.xml"/><Relationship Id="rId8" Type="http://schemas.openxmlformats.org/officeDocument/2006/relationships/diagramQuickStyle" Target="diagrams/quickStyle1.xml"/><Relationship Id="rId7" Type="http://schemas.openxmlformats.org/officeDocument/2006/relationships/diagramLayout" Target="diagrams/layout1.xml"/><Relationship Id="rId6" Type="http://schemas.openxmlformats.org/officeDocument/2006/relationships/diagramData" Target="diagrams/data1.xml"/><Relationship Id="rId5" Type="http://schemas.openxmlformats.org/officeDocument/2006/relationships/theme" Target="theme/theme1.xml"/><Relationship Id="rId40" Type="http://schemas.openxmlformats.org/officeDocument/2006/relationships/fontTable" Target="fontTable.xml"/><Relationship Id="rId4" Type="http://schemas.openxmlformats.org/officeDocument/2006/relationships/footer" Target="footer1.xml"/><Relationship Id="rId39" Type="http://schemas.openxmlformats.org/officeDocument/2006/relationships/customXml" Target="../customXml/item2.xml"/><Relationship Id="rId38" Type="http://schemas.openxmlformats.org/officeDocument/2006/relationships/numbering" Target="numbering.xml"/><Relationship Id="rId37" Type="http://schemas.openxmlformats.org/officeDocument/2006/relationships/customXml" Target="../customXml/item1.xml"/><Relationship Id="rId36" Type="http://schemas.openxmlformats.org/officeDocument/2006/relationships/image" Target="media/image27.png"/><Relationship Id="rId35" Type="http://schemas.openxmlformats.org/officeDocument/2006/relationships/image" Target="media/image26.png"/><Relationship Id="rId34" Type="http://schemas.openxmlformats.org/officeDocument/2006/relationships/image" Target="media/image25.png"/><Relationship Id="rId33" Type="http://schemas.openxmlformats.org/officeDocument/2006/relationships/image" Target="media/image24.png"/><Relationship Id="rId32" Type="http://schemas.openxmlformats.org/officeDocument/2006/relationships/image" Target="media/image23.png"/><Relationship Id="rId31" Type="http://schemas.openxmlformats.org/officeDocument/2006/relationships/image" Target="media/image22.png"/><Relationship Id="rId30" Type="http://schemas.openxmlformats.org/officeDocument/2006/relationships/image" Target="media/image21.png"/><Relationship Id="rId3" Type="http://schemas.openxmlformats.org/officeDocument/2006/relationships/header" Target="header1.xml"/><Relationship Id="rId29" Type="http://schemas.openxmlformats.org/officeDocument/2006/relationships/image" Target="media/image20.png"/><Relationship Id="rId28" Type="http://schemas.openxmlformats.org/officeDocument/2006/relationships/image" Target="media/image19.png"/><Relationship Id="rId27" Type="http://schemas.openxmlformats.org/officeDocument/2006/relationships/image" Target="media/image18.png"/><Relationship Id="rId26" Type="http://schemas.openxmlformats.org/officeDocument/2006/relationships/image" Target="media/image17.png"/><Relationship Id="rId25" Type="http://schemas.openxmlformats.org/officeDocument/2006/relationships/image" Target="media/image16.png"/><Relationship Id="rId24" Type="http://schemas.openxmlformats.org/officeDocument/2006/relationships/image" Target="media/image15.png"/><Relationship Id="rId23" Type="http://schemas.openxmlformats.org/officeDocument/2006/relationships/image" Target="media/image14.png"/><Relationship Id="rId22" Type="http://schemas.openxmlformats.org/officeDocument/2006/relationships/image" Target="media/image13.png"/><Relationship Id="rId21" Type="http://schemas.openxmlformats.org/officeDocument/2006/relationships/image" Target="media/image12.png"/><Relationship Id="rId20" Type="http://schemas.openxmlformats.org/officeDocument/2006/relationships/image" Target="media/image11.png"/><Relationship Id="rId2" Type="http://schemas.openxmlformats.org/officeDocument/2006/relationships/settings" Target="settings.xml"/><Relationship Id="rId19" Type="http://schemas.openxmlformats.org/officeDocument/2006/relationships/image" Target="media/image10.png"/><Relationship Id="rId18" Type="http://schemas.openxmlformats.org/officeDocument/2006/relationships/image" Target="media/image9.png"/><Relationship Id="rId17" Type="http://schemas.openxmlformats.org/officeDocument/2006/relationships/image" Target="media/image8.png"/><Relationship Id="rId16" Type="http://schemas.openxmlformats.org/officeDocument/2006/relationships/image" Target="media/image7.png"/><Relationship Id="rId15" Type="http://schemas.openxmlformats.org/officeDocument/2006/relationships/image" Target="media/image6.png"/><Relationship Id="rId14" Type="http://schemas.openxmlformats.org/officeDocument/2006/relationships/image" Target="media/image5.png"/><Relationship Id="rId13" Type="http://schemas.openxmlformats.org/officeDocument/2006/relationships/image" Target="media/image4.png"/><Relationship Id="rId12" Type="http://schemas.openxmlformats.org/officeDocument/2006/relationships/image" Target="media/image3.png"/><Relationship Id="rId11" Type="http://schemas.openxmlformats.org/officeDocument/2006/relationships/image" Target="media/image2.png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5#1">
  <dgm:title val=""/>
  <dgm:desc val=""/>
  <dgm:catLst>
    <dgm:cat type="colorful" pri="10500"/>
  </dgm:catLst>
  <dgm:styleLbl name="align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Node1">
    <dgm:fillClrLst>
      <a:schemeClr val="accent5"/>
      <a:schemeClr val="accent6"/>
    </dgm:fillClrLst>
    <dgm:linClrLst>
      <a:schemeClr val="accent5"/>
      <a:schemeClr val="accent6"/>
    </dgm:linClrLst>
    <dgm:effectClrLst/>
    <dgm:txLinClrLst/>
    <dgm:txFillClrLst/>
    <dgm:txEffectClrLst/>
  </dgm:styleLbl>
  <dgm:styleLbl name="asst0">
    <dgm:fillClrLst meth="repeat">
      <a:schemeClr val="accent5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1">
    <dgm:fillClrLst meth="repeat">
      <a:schemeClr val="accent6"/>
    </dgm:fillClrLst>
    <dgm:linClrLst meth="repeat">
      <a:schemeClr val="lt1">
        <a:shade val="80000"/>
      </a:schemeClr>
    </dgm:linClrLst>
    <dgm:effectClrLst/>
    <dgm:txLinClrLst/>
    <dgm:txFillClrLst/>
    <dgm:txEffectClrLst/>
  </dgm:styleLbl>
  <dgm:styleLbl name="asst2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b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b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ImgPlace1">
    <dgm:fillClrLst>
      <a:schemeClr val="accent5">
        <a:tint val="50000"/>
      </a:schemeClr>
      <a:schemeClr val="accent6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b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con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fgAcc1">
    <dgm:fillClrLst meth="repeat">
      <a:schemeClr val="lt1">
        <a:alpha val="90000"/>
      </a:schemeClr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FollowNode1">
    <dgm:fillClrLst>
      <a:schemeClr val="accent5">
        <a:tint val="40000"/>
        <a:alpha val="90000"/>
      </a:schemeClr>
      <a:schemeClr val="accent6">
        <a:tint val="40000"/>
        <a:alpha val="90000"/>
      </a:schemeClr>
    </dgm:fillClrLst>
    <dgm:linClrLst>
      <a:schemeClr val="accent5">
        <a:tint val="40000"/>
        <a:alpha val="90000"/>
      </a:schemeClr>
      <a:schemeClr val="accent5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fg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ln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0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node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parCh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>
        <a:tint val="90000"/>
      </a:schemeClr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>
        <a:tint val="70000"/>
      </a:schemeClr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>
        <a:tint val="5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2D1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  <dgm:styleLbl name="sibTrans1D1">
    <dgm:fillClrLst/>
    <dgm:linClrLst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sibTrans2D1">
    <dgm:fillClrLst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solidAlign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vennNode1">
    <dgm:fillClrLst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FE9966EF-5C8C-46C8-8F78-3970B95B47AC}" type="doc">
      <dgm:prSet loTypeId="urn:microsoft.com/office/officeart/2005/8/layout/process1" loCatId="process" qsTypeId="urn:microsoft.com/office/officeart/2005/8/quickstyle/simple1#1" qsCatId="simple" csTypeId="urn:microsoft.com/office/officeart/2005/8/colors/colorful5#1" csCatId="colorful" phldr="1"/>
      <dgm:spPr/>
    </dgm:pt>
    <dgm:pt modelId="{C31737D4-CC11-4E27-B85A-E33DA294CD75}">
      <dgm:prSet phldrT="[文本]"/>
      <dgm:spPr/>
      <dgm:t>
        <a:bodyPr/>
        <a:p>
          <a:pPr algn="ctr"/>
          <a:r>
            <a:rPr lang="zh-CN" altLang="en-US" b="1"/>
            <a:t>安装驱动</a:t>
          </a:r>
        </a:p>
      </dgm:t>
    </dgm:pt>
    <dgm:pt modelId="{DEEFE636-B1C1-4827-BAF1-A542B0EBD9BE}" cxnId="{2F1CCBA4-8D1A-4B73-899B-28898E0DA762}" type="parTrans">
      <dgm:prSet/>
      <dgm:spPr/>
      <dgm:t>
        <a:bodyPr/>
        <a:p>
          <a:pPr algn="ctr"/>
          <a:endParaRPr lang="zh-CN" altLang="en-US"/>
        </a:p>
      </dgm:t>
    </dgm:pt>
    <dgm:pt modelId="{5350EE0E-C5C3-4E13-8953-F7E6109ABFCF}" cxnId="{2F1CCBA4-8D1A-4B73-899B-28898E0DA762}" type="sibTrans">
      <dgm:prSet/>
      <dgm:spPr/>
      <dgm:t>
        <a:bodyPr/>
        <a:p>
          <a:pPr algn="ctr"/>
          <a:endParaRPr lang="zh-CN" altLang="en-US"/>
        </a:p>
      </dgm:t>
    </dgm:pt>
    <dgm:pt modelId="{8571D458-E1B3-48A7-9B53-B6F32971A9B1}">
      <dgm:prSet phldrT="[文本]"/>
      <dgm:spPr/>
      <dgm:t>
        <a:bodyPr/>
        <a:p>
          <a:pPr algn="ctr"/>
          <a:r>
            <a:rPr lang="zh-CN" altLang="en-US" b="1"/>
            <a:t>检测驱动是否工作正常</a:t>
          </a:r>
        </a:p>
      </dgm:t>
    </dgm:pt>
    <dgm:pt modelId="{F3F2899E-6E8B-42C6-B2B8-A08AB8C43F08}" cxnId="{2F1574C3-11A5-47C7-909E-AAEDEBE06E66}" type="parTrans">
      <dgm:prSet/>
      <dgm:spPr/>
      <dgm:t>
        <a:bodyPr/>
        <a:p>
          <a:pPr algn="ctr"/>
          <a:endParaRPr lang="zh-CN" altLang="en-US"/>
        </a:p>
      </dgm:t>
    </dgm:pt>
    <dgm:pt modelId="{D5DFFCC7-7DDC-4C59-93D8-857E23859367}" cxnId="{2F1574C3-11A5-47C7-909E-AAEDEBE06E66}" type="sibTrans">
      <dgm:prSet/>
      <dgm:spPr/>
      <dgm:t>
        <a:bodyPr/>
        <a:p>
          <a:pPr algn="ctr"/>
          <a:endParaRPr lang="zh-CN" altLang="en-US"/>
        </a:p>
      </dgm:t>
    </dgm:pt>
    <dgm:pt modelId="{330CC31F-77D5-4934-8BC0-9EBB5EF0068B}" type="pres">
      <dgm:prSet presAssocID="{FE9966EF-5C8C-46C8-8F78-3970B95B47AC}" presName="Name0" presStyleCnt="0">
        <dgm:presLayoutVars>
          <dgm:dir/>
          <dgm:resizeHandles val="exact"/>
        </dgm:presLayoutVars>
      </dgm:prSet>
      <dgm:spPr/>
    </dgm:pt>
    <dgm:pt modelId="{994D2A7D-07FA-4A61-96ED-6EFD58CE0DC9}" type="pres">
      <dgm:prSet presAssocID="{C31737D4-CC11-4E27-B85A-E33DA294CD75}" presName="node" presStyleLbl="node1" presStyleIdx="0" presStyleCnt="2" custScaleY="61043" custLinFactNeighborX="-836">
        <dgm:presLayoutVars>
          <dgm:bulletEnabled val="1"/>
        </dgm:presLayoutVars>
      </dgm:prSet>
      <dgm:spPr/>
      <dgm:t>
        <a:bodyPr/>
        <a:p>
          <a:endParaRPr lang="zh-CN" altLang="en-US"/>
        </a:p>
      </dgm:t>
    </dgm:pt>
    <dgm:pt modelId="{0B86DBBA-2E81-452B-BFB8-13B69478E889}" type="pres">
      <dgm:prSet presAssocID="{5350EE0E-C5C3-4E13-8953-F7E6109ABFCF}" presName="sibTrans" presStyleLbl="sibTrans2D1" presStyleIdx="0" presStyleCnt="1"/>
      <dgm:spPr/>
      <dgm:t>
        <a:bodyPr/>
        <a:p>
          <a:endParaRPr lang="zh-CN" altLang="en-US"/>
        </a:p>
      </dgm:t>
    </dgm:pt>
    <dgm:pt modelId="{629D51F9-20A5-4785-A362-2FDCC5B576F4}" type="pres">
      <dgm:prSet presAssocID="{5350EE0E-C5C3-4E13-8953-F7E6109ABFCF}" presName="connectorText" presStyleLbl="sibTrans2D1" presStyleIdx="0" presStyleCnt="1"/>
      <dgm:spPr/>
      <dgm:t>
        <a:bodyPr/>
        <a:p>
          <a:endParaRPr lang="zh-CN" altLang="en-US"/>
        </a:p>
      </dgm:t>
    </dgm:pt>
    <dgm:pt modelId="{E1008F2A-134F-4CC4-BD10-E2B901B9C453}" type="pres">
      <dgm:prSet presAssocID="{8571D458-E1B3-48A7-9B53-B6F32971A9B1}" presName="node" presStyleLbl="node1" presStyleIdx="1" presStyleCnt="2" custScaleX="99946" custScaleY="61043">
        <dgm:presLayoutVars>
          <dgm:bulletEnabled val="1"/>
        </dgm:presLayoutVars>
      </dgm:prSet>
      <dgm:spPr/>
      <dgm:t>
        <a:bodyPr/>
        <a:p>
          <a:endParaRPr lang="zh-CN" altLang="en-US"/>
        </a:p>
      </dgm:t>
    </dgm:pt>
  </dgm:ptLst>
  <dgm:cxnLst>
    <dgm:cxn modelId="{E93CC859-A698-42AD-8BAE-5EE1F693FC41}" type="presOf" srcId="{FE9966EF-5C8C-46C8-8F78-3970B95B47AC}" destId="{330CC31F-77D5-4934-8BC0-9EBB5EF0068B}" srcOrd="0" destOrd="0" presId="urn:microsoft.com/office/officeart/2005/8/layout/process1"/>
    <dgm:cxn modelId="{CBC3A50D-68AB-4E02-80F3-E942A30C6C0C}" type="presOf" srcId="{C31737D4-CC11-4E27-B85A-E33DA294CD75}" destId="{994D2A7D-07FA-4A61-96ED-6EFD58CE0DC9}" srcOrd="0" destOrd="0" presId="urn:microsoft.com/office/officeart/2005/8/layout/process1"/>
    <dgm:cxn modelId="{2F1CCBA4-8D1A-4B73-899B-28898E0DA762}" srcId="{FE9966EF-5C8C-46C8-8F78-3970B95B47AC}" destId="{C31737D4-CC11-4E27-B85A-E33DA294CD75}" srcOrd="0" destOrd="0" parTransId="{DEEFE636-B1C1-4827-BAF1-A542B0EBD9BE}" sibTransId="{5350EE0E-C5C3-4E13-8953-F7E6109ABFCF}"/>
    <dgm:cxn modelId="{88EB353A-1D11-46C0-879F-CDF120A155C4}" type="presOf" srcId="{5350EE0E-C5C3-4E13-8953-F7E6109ABFCF}" destId="{0B86DBBA-2E81-452B-BFB8-13B69478E889}" srcOrd="0" destOrd="0" presId="urn:microsoft.com/office/officeart/2005/8/layout/process1"/>
    <dgm:cxn modelId="{2F1574C3-11A5-47C7-909E-AAEDEBE06E66}" srcId="{FE9966EF-5C8C-46C8-8F78-3970B95B47AC}" destId="{8571D458-E1B3-48A7-9B53-B6F32971A9B1}" srcOrd="1" destOrd="0" parTransId="{F3F2899E-6E8B-42C6-B2B8-A08AB8C43F08}" sibTransId="{D5DFFCC7-7DDC-4C59-93D8-857E23859367}"/>
    <dgm:cxn modelId="{B74EB3B0-D542-4816-822F-790EF9086425}" type="presOf" srcId="{8571D458-E1B3-48A7-9B53-B6F32971A9B1}" destId="{E1008F2A-134F-4CC4-BD10-E2B901B9C453}" srcOrd="0" destOrd="0" presId="urn:microsoft.com/office/officeart/2005/8/layout/process1"/>
    <dgm:cxn modelId="{F0E18EAA-272F-4ED6-AD21-53CBE22A0172}" type="presOf" srcId="{5350EE0E-C5C3-4E13-8953-F7E6109ABFCF}" destId="{629D51F9-20A5-4785-A362-2FDCC5B576F4}" srcOrd="1" destOrd="0" presId="urn:microsoft.com/office/officeart/2005/8/layout/process1"/>
    <dgm:cxn modelId="{E5AEFB0E-8003-4795-88E2-F840E93AE234}" type="presParOf" srcId="{330CC31F-77D5-4934-8BC0-9EBB5EF0068B}" destId="{994D2A7D-07FA-4A61-96ED-6EFD58CE0DC9}" srcOrd="0" destOrd="0" presId="urn:microsoft.com/office/officeart/2005/8/layout/process1"/>
    <dgm:cxn modelId="{8FD6D3F4-FD84-4629-939F-12AD8F169238}" type="presParOf" srcId="{330CC31F-77D5-4934-8BC0-9EBB5EF0068B}" destId="{0B86DBBA-2E81-452B-BFB8-13B69478E889}" srcOrd="1" destOrd="0" presId="urn:microsoft.com/office/officeart/2005/8/layout/process1"/>
    <dgm:cxn modelId="{4EBBE035-2214-4F8F-ADDE-1A44E928B2F7}" type="presParOf" srcId="{0B86DBBA-2E81-452B-BFB8-13B69478E889}" destId="{629D51F9-20A5-4785-A362-2FDCC5B576F4}" srcOrd="0" destOrd="0" presId="urn:microsoft.com/office/officeart/2005/8/layout/process1"/>
    <dgm:cxn modelId="{72918410-EBD4-44EA-962C-239E8D011DD0}" type="presParOf" srcId="{330CC31F-77D5-4934-8BC0-9EBB5EF0068B}" destId="{E1008F2A-134F-4CC4-BD10-E2B901B9C453}" srcOrd="2" destOrd="0" presId="urn:microsoft.com/office/officeart/2005/8/layout/process1"/>
  </dgm:cxnLst>
  <dgm:bg/>
  <dgm:whole/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94D2A7D-07FA-4A61-96ED-6EFD58CE0DC9}">
      <dsp:nvSpPr>
        <dsp:cNvPr id="0" name=""/>
        <dsp:cNvSpPr/>
      </dsp:nvSpPr>
      <dsp:spPr>
        <a:xfrm>
          <a:off x="0" y="0"/>
          <a:ext cx="1925383" cy="588010"/>
        </a:xfrm>
        <a:prstGeom prst="roundRect">
          <a:avLst>
            <a:gd name="adj" fmla="val 1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400" b="1" kern="1200"/>
            <a:t>安装驱动</a:t>
          </a:r>
        </a:p>
      </dsp:txBody>
      <dsp:txXfrm>
        <a:off x="17222" y="17222"/>
        <a:ext cx="1890939" cy="553566"/>
      </dsp:txXfrm>
    </dsp:sp>
    <dsp:sp modelId="{0B86DBBA-2E81-452B-BFB8-13B69478E889}">
      <dsp:nvSpPr>
        <dsp:cNvPr id="0" name=""/>
        <dsp:cNvSpPr/>
      </dsp:nvSpPr>
      <dsp:spPr>
        <a:xfrm>
          <a:off x="2118842" y="55257"/>
          <a:ext cx="410132" cy="477495"/>
        </a:xfrm>
        <a:prstGeom prst="rightArrow">
          <a:avLst>
            <a:gd name="adj1" fmla="val 60000"/>
            <a:gd name="adj2" fmla="val 50000"/>
          </a:avLst>
        </a:prstGeom>
        <a:solidFill>
          <a:schemeClr val="accent5">
            <a:hueOff val="0"/>
            <a:satOff val="0"/>
            <a:lumOff val="0"/>
            <a:alphaOff val="0"/>
          </a:schemeClr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zh-CN" altLang="en-US" sz="1100" kern="1200"/>
        </a:p>
      </dsp:txBody>
      <dsp:txXfrm>
        <a:off x="2118842" y="150756"/>
        <a:ext cx="287092" cy="286497"/>
      </dsp:txXfrm>
    </dsp:sp>
    <dsp:sp modelId="{E1008F2A-134F-4CC4-BD10-E2B901B9C453}">
      <dsp:nvSpPr>
        <dsp:cNvPr id="0" name=""/>
        <dsp:cNvSpPr/>
      </dsp:nvSpPr>
      <dsp:spPr>
        <a:xfrm>
          <a:off x="2699219" y="0"/>
          <a:ext cx="1924343" cy="588010"/>
        </a:xfrm>
        <a:prstGeom prst="roundRect">
          <a:avLst>
            <a:gd name="adj" fmla="val 10000"/>
          </a:avLst>
        </a:prstGeom>
        <a:solidFill>
          <a:schemeClr val="accent5">
            <a:hueOff val="-9933876"/>
            <a:satOff val="39811"/>
            <a:lumOff val="8628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3340" tIns="53340" rIns="53340" bIns="53340" numCol="1" spcCol="1270" anchor="ctr" anchorCtr="0">
          <a:noAutofit/>
        </a:bodyPr>
        <a:lstStyle/>
        <a:p>
          <a:pPr lvl="0" algn="ctr" defTabSz="6223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zh-CN" altLang="en-US" sz="1400" b="1" kern="1200"/>
            <a:t>检测驱动是否工作正常</a:t>
          </a:r>
        </a:p>
      </dsp:txBody>
      <dsp:txXfrm>
        <a:off x="2716441" y="17222"/>
        <a:ext cx="1889899" cy="55356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rocess1">
  <dgm:title val=""/>
  <dgm:desc val=""/>
  <dgm:catLst>
    <dgm:cat type="process" pri="1000"/>
    <dgm:cat type="convert" pri="15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h" for="ch" ptType="node" op="equ"/>
      <dgm:constr type="primFontSz" for="ch" ptType="node" op="equ" val="65"/>
      <dgm:constr type="w" for="ch" ptType="sibTrans" refType="w" refFor="ch" refPtType="node" op="equ" fact="0.4"/>
      <dgm:constr type="h" for="ch" ptType="sibTrans" op="equ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>
            <dgm:adj idx="1" val="0.1"/>
          </dgm:adjLst>
        </dgm:shape>
        <dgm:presOf axis="desOrSelf" ptType="node"/>
        <dgm:constrLst>
          <dgm:constr type="h" refType="w" fact="0.6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18" fact="NaN" max="NaN"/>
          <dgm:rule type="h" val="NaN" fact="1.5" max="NaN"/>
          <dgm:rule type="primFontSz" val="5" fact="NaN" max="NaN"/>
          <dgm:rule type="h" val="INF" fact="NaN" max="NaN"/>
        </dgm:ruleLst>
      </dgm:layoutNode>
      <dgm:forEach name="sibTransForEach" axis="followSib" ptType="sibTrans" cnt="1">
        <dgm:layoutNode name="sibTrans">
          <dgm:alg type="conn">
            <dgm:param type="begPts" val="auto"/>
            <dgm:param type="endPts" val="auto"/>
          </dgm:alg>
          <dgm:shape xmlns:r="http://schemas.openxmlformats.org/officeDocument/2006/relationships" type="conn" r:blip="">
            <dgm:adjLst/>
          </dgm:shape>
          <dgm:presOf axis="self"/>
          <dgm:constrLst>
            <dgm:constr type="h" refType="w" fact="0.62"/>
            <dgm:constr type="connDist"/>
            <dgm:constr type="begPad" refType="connDist" fact="0.25"/>
            <dgm:constr type="endPad" refType="connDist" fact="0.22"/>
          </dgm:constrLst>
          <dgm:ruleLst/>
          <dgm:layoutNode name="connectorText">
            <dgm:alg type="tx">
              <dgm:param type="autoTxRot" val="grav"/>
            </dgm:alg>
            <dgm:shape xmlns:r="http://schemas.openxmlformats.org/officeDocument/2006/relationships" type="conn" r:blip="" hideGeom="1">
              <dgm:adjLst/>
            </dgm:shape>
            <dgm:presOf axis="self"/>
            <dgm:constrLst>
              <dgm:constr type="lMarg"/>
              <dgm:constr type="rMarg"/>
              <dgm:constr type="tMarg"/>
              <dgm:constr type="bMarg"/>
            </dgm:constrLst>
            <dgm:ruleLst>
              <dgm:rule type="primFontSz" val="5" fact="NaN" max="NaN"/>
            </dgm:ruleLst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#1">
  <dgm:title val=""/>
  <dgm:desc val=""/>
  <dgm:catLst>
    <dgm:cat type="simple" pri="10100"/>
  </dgm:catLst>
  <dgm:scene3d>
    <a:camera prst="orthographicFront"/>
    <a:lightRig rig="threePt" dir="t"/>
  </dgm:scene3d>
  <dgm:styleLbl name="alignAcc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Nod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0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Acc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ibTrans2D1">
    <dgm:scene3d>
      <a:camera prst="orthographicFront"/>
      <a:lightRig rig="threePt" dir="t"/>
    </dgm:scene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callout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ImgPlac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ibTrans2D1">
    <dgm:scene3d>
      <a:camera prst="orthographicFront"/>
      <a:lightRig rig="threePt" dir="t"/>
    </dgm:scene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0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2D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revTx">
    <dgm:scene3d>
      <a:camera prst="orthographicFront"/>
      <a:lightRig rig="threePt" dir="t"/>
    </dgm:scene3d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sibTrans1D1">
    <dgm:scene3d>
      <a:camera prst="orthographicFront"/>
      <a:lightRig rig="threePt" dir="t"/>
    </dgm:scene3d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olidAlignAcc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vennNode1">
    <dgm:scene3d>
      <a:camera prst="orthographicFront"/>
      <a:lightRig rig="threePt" dir="t"/>
    </dgm:scene3d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</dgm:styleDef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5D2F170-4BAC-4B10-97EC-27D646F459C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mycomputer</Company>
  <Pages>21</Pages>
  <Words>594</Words>
  <Characters>3389</Characters>
  <Lines>28</Lines>
  <Paragraphs>7</Paragraphs>
  <TotalTime>11</TotalTime>
  <ScaleCrop>false</ScaleCrop>
  <LinksUpToDate>false</LinksUpToDate>
  <CharactersWithSpaces>3976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2015-04-20T13:45:00Z</dcterms:created>
  <dc:creator>NTKO</dc:creator>
  <cp:lastModifiedBy>liaoqc</cp:lastModifiedBy>
  <dcterms:modified xsi:type="dcterms:W3CDTF">2020-02-12T07:12:42Z</dcterms:modified>
  <cp:revision>60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