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C2E57">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w:t>
      </w:r>
      <w:bookmarkStart w:id="2" w:name="_GoBack"/>
      <w:bookmarkEnd w:id="2"/>
      <w:r>
        <w:rPr>
          <w:rFonts w:hint="eastAsia" w:ascii="华文中宋" w:hAnsi="华文中宋" w:eastAsia="华文中宋"/>
        </w:rPr>
        <w:t>公告</w:t>
      </w:r>
      <w:bookmarkEnd w:id="0"/>
      <w:bookmarkEnd w:id="1"/>
    </w:p>
    <w:p w14:paraId="74A1286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u w:val="single"/>
        </w:rPr>
      </w:pPr>
      <w:r>
        <w:rPr>
          <w:rFonts w:eastAsia="黑体"/>
          <w:sz w:val="28"/>
          <w:szCs w:val="28"/>
        </w:rPr>
        <w:t>一、项目编号：</w:t>
      </w:r>
      <w:r>
        <w:rPr>
          <w:rFonts w:hint="eastAsia" w:ascii="仿宋" w:hAnsi="仿宋" w:eastAsia="仿宋" w:cs="仿宋"/>
          <w:sz w:val="28"/>
          <w:szCs w:val="28"/>
          <w:u w:val="single"/>
        </w:rPr>
        <w:t>JXZTYC-202441</w:t>
      </w:r>
    </w:p>
    <w:p w14:paraId="3C98BAF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sz w:val="28"/>
          <w:szCs w:val="28"/>
        </w:rPr>
      </w:pPr>
      <w:r>
        <w:rPr>
          <w:rFonts w:eastAsia="黑体"/>
          <w:sz w:val="28"/>
          <w:szCs w:val="28"/>
        </w:rPr>
        <w:t>二、项目名称：</w:t>
      </w:r>
      <w:r>
        <w:rPr>
          <w:rFonts w:hint="eastAsia" w:ascii="仿宋" w:hAnsi="仿宋" w:eastAsia="仿宋" w:cs="仿宋"/>
          <w:sz w:val="28"/>
          <w:szCs w:val="28"/>
          <w:u w:val="single"/>
        </w:rPr>
        <w:t>丰城生态环境局生态环境监管能力提升三年行动项目</w:t>
      </w:r>
    </w:p>
    <w:p w14:paraId="7C04108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eastAsia="黑体"/>
          <w:sz w:val="28"/>
          <w:szCs w:val="28"/>
        </w:rPr>
      </w:pPr>
      <w:r>
        <w:rPr>
          <w:rFonts w:eastAsia="黑体"/>
          <w:sz w:val="28"/>
          <w:szCs w:val="28"/>
        </w:rPr>
        <w:t>三、相关当事人</w:t>
      </w:r>
    </w:p>
    <w:p w14:paraId="568FA8E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当事人1</w:t>
      </w:r>
      <w:r>
        <w:rPr>
          <w:rFonts w:hint="eastAsia" w:ascii="仿宋" w:hAnsi="仿宋" w:eastAsia="仿宋" w:cs="仿宋"/>
          <w:sz w:val="28"/>
          <w:szCs w:val="28"/>
        </w:rPr>
        <w:t>：</w:t>
      </w:r>
      <w:r>
        <w:rPr>
          <w:rFonts w:hint="eastAsia" w:ascii="仿宋" w:hAnsi="仿宋" w:eastAsia="仿宋" w:cs="仿宋"/>
          <w:sz w:val="28"/>
          <w:szCs w:val="28"/>
          <w:u w:val="single"/>
        </w:rPr>
        <w:t>南昌市尔能环保技术有限公司</w:t>
      </w:r>
    </w:p>
    <w:p w14:paraId="0C9C1AC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江西省南昌市南昌经济技术开发区广兰大道南天阳光45号楼二单元903室</w:t>
      </w:r>
    </w:p>
    <w:p w14:paraId="01EF427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当事人2</w:t>
      </w:r>
      <w:r>
        <w:rPr>
          <w:rFonts w:hint="eastAsia" w:ascii="仿宋" w:hAnsi="仿宋" w:eastAsia="仿宋" w:cs="仿宋"/>
          <w:sz w:val="28"/>
          <w:szCs w:val="28"/>
        </w:rPr>
        <w:t>：</w:t>
      </w:r>
      <w:r>
        <w:rPr>
          <w:rFonts w:hint="eastAsia" w:ascii="仿宋" w:hAnsi="仿宋" w:eastAsia="仿宋" w:cs="仿宋"/>
          <w:sz w:val="28"/>
          <w:szCs w:val="28"/>
          <w:u w:val="single"/>
        </w:rPr>
        <w:t>江西智拓工程管理有限公司</w:t>
      </w:r>
    </w:p>
    <w:p w14:paraId="79D317E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江西省南昌市红谷滩区世贸路899路博能中心二期7楼703室</w:t>
      </w:r>
    </w:p>
    <w:p w14:paraId="55E521C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当事人</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u w:val="single"/>
        </w:rPr>
        <w:t>宜春市丰城生态环境局</w:t>
      </w:r>
    </w:p>
    <w:p w14:paraId="02BC205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Cs w:val="32"/>
        </w:rPr>
      </w:pPr>
      <w:r>
        <w:rPr>
          <w:rFonts w:hint="eastAsia" w:ascii="仿宋" w:hAnsi="仿宋" w:eastAsia="仿宋" w:cs="仿宋"/>
          <w:sz w:val="28"/>
          <w:szCs w:val="28"/>
        </w:rPr>
        <w:t>地址：</w:t>
      </w:r>
      <w:r>
        <w:rPr>
          <w:rFonts w:hint="eastAsia" w:ascii="仿宋" w:hAnsi="仿宋" w:eastAsia="仿宋" w:cs="仿宋"/>
          <w:sz w:val="28"/>
          <w:szCs w:val="28"/>
          <w:u w:val="single"/>
        </w:rPr>
        <w:t>宜春市丰城市龙光东大道1269号</w:t>
      </w:r>
    </w:p>
    <w:p w14:paraId="184C0D8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eastAsia="黑体"/>
          <w:sz w:val="28"/>
          <w:szCs w:val="28"/>
        </w:rPr>
      </w:pPr>
      <w:r>
        <w:rPr>
          <w:rFonts w:eastAsia="黑体"/>
          <w:sz w:val="28"/>
          <w:szCs w:val="28"/>
        </w:rPr>
        <w:t>四、基本情况</w:t>
      </w:r>
    </w:p>
    <w:p w14:paraId="675408A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shd w:val="clear" w:color="auto" w:fill="FFFFFF"/>
        </w:rPr>
      </w:pPr>
      <w:r>
        <w:rPr>
          <w:rFonts w:hint="eastAsia" w:ascii="仿宋" w:hAnsi="仿宋" w:eastAsia="仿宋" w:cs="仿宋"/>
          <w:sz w:val="28"/>
          <w:szCs w:val="28"/>
        </w:rPr>
        <w:t>投诉人因对被投诉人质疑答复不满意向本机关提起投诉，</w:t>
      </w:r>
      <w:r>
        <w:rPr>
          <w:rFonts w:hint="eastAsia" w:ascii="仿宋" w:hAnsi="仿宋" w:eastAsia="仿宋" w:cs="仿宋"/>
          <w:sz w:val="28"/>
          <w:szCs w:val="28"/>
          <w:shd w:val="clear" w:color="auto" w:fill="FFFFFF"/>
        </w:rPr>
        <w:t>本机关审查后依法受理，</w:t>
      </w:r>
      <w:r>
        <w:rPr>
          <w:rFonts w:hint="eastAsia" w:ascii="仿宋" w:hAnsi="仿宋" w:eastAsia="仿宋" w:cs="仿宋"/>
          <w:sz w:val="28"/>
          <w:szCs w:val="28"/>
        </w:rPr>
        <w:t>本机关于2024年11月18日正式受理</w:t>
      </w:r>
      <w:r>
        <w:rPr>
          <w:rFonts w:hint="eastAsia" w:ascii="仿宋" w:hAnsi="仿宋" w:eastAsia="仿宋" w:cs="仿宋"/>
          <w:sz w:val="28"/>
          <w:szCs w:val="22"/>
        </w:rPr>
        <w:t>，</w:t>
      </w:r>
      <w:r>
        <w:rPr>
          <w:rFonts w:hint="eastAsia" w:ascii="仿宋" w:hAnsi="仿宋" w:eastAsia="仿宋" w:cs="仿宋"/>
          <w:sz w:val="28"/>
          <w:szCs w:val="28"/>
          <w:shd w:val="clear" w:color="auto" w:fill="FFFFFF"/>
        </w:rPr>
        <w:t>现已审查结束。</w:t>
      </w:r>
    </w:p>
    <w:p w14:paraId="148D882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该项目于2024年10月22日在江西省公共资源交易网发布采购公告，11月18日在江西省公共资源交易网发布中标公告，同日向中标人发出中标通知书。</w:t>
      </w:r>
    </w:p>
    <w:p w14:paraId="02A44132">
      <w:pPr>
        <w:keepNext w:val="0"/>
        <w:keepLines w:val="0"/>
        <w:pageBreakBefore w:val="0"/>
        <w:widowControl w:val="0"/>
        <w:kinsoku/>
        <w:wordWrap/>
        <w:overflowPunct/>
        <w:topLinePunct w:val="0"/>
        <w:autoSpaceDE/>
        <w:autoSpaceDN/>
        <w:bidi w:val="0"/>
        <w:adjustRightInd/>
        <w:snapToGrid/>
        <w:spacing w:line="240" w:lineRule="auto"/>
        <w:ind w:firstLine="544" w:firstLineChars="200"/>
        <w:textAlignment w:val="auto"/>
        <w:rPr>
          <w:rFonts w:hint="eastAsia" w:ascii="仿宋" w:hAnsi="仿宋" w:eastAsia="仿宋" w:cs="仿宋"/>
          <w:spacing w:val="-4"/>
          <w:sz w:val="28"/>
          <w:szCs w:val="28"/>
        </w:rPr>
      </w:pPr>
      <w:r>
        <w:rPr>
          <w:rFonts w:hint="eastAsia" w:ascii="仿宋" w:hAnsi="仿宋" w:eastAsia="仿宋" w:cs="仿宋"/>
          <w:b w:val="0"/>
          <w:bCs/>
          <w:spacing w:val="-4"/>
          <w:sz w:val="28"/>
          <w:szCs w:val="28"/>
        </w:rPr>
        <w:t>投诉事项</w:t>
      </w:r>
      <w:r>
        <w:rPr>
          <w:rFonts w:hint="eastAsia" w:ascii="仿宋" w:hAnsi="仿宋" w:eastAsia="仿宋" w:cs="仿宋"/>
          <w:spacing w:val="-4"/>
          <w:sz w:val="28"/>
          <w:szCs w:val="28"/>
        </w:rPr>
        <w:t>：根据丰城生态环境局生态环境监管能力提升三年行动项目的招标文件第四章评标方法二、评分标准技术部分，评分标准的离子色谱仪、原子荧光光度计设备参数存在在指向特定供应商、特定产品。</w:t>
      </w:r>
    </w:p>
    <w:p w14:paraId="69870D0F">
      <w:pPr>
        <w:keepNext w:val="0"/>
        <w:keepLines w:val="0"/>
        <w:pageBreakBefore w:val="0"/>
        <w:widowControl w:val="0"/>
        <w:kinsoku/>
        <w:wordWrap/>
        <w:overflowPunct/>
        <w:topLinePunct w:val="0"/>
        <w:autoSpaceDE/>
        <w:autoSpaceDN/>
        <w:bidi w:val="0"/>
        <w:adjustRightInd/>
        <w:snapToGrid/>
        <w:spacing w:line="240" w:lineRule="auto"/>
        <w:ind w:firstLine="544" w:firstLineChars="200"/>
        <w:textAlignment w:val="auto"/>
        <w:rPr>
          <w:rFonts w:hint="eastAsia" w:ascii="仿宋" w:hAnsi="仿宋" w:eastAsia="仿宋" w:cs="仿宋"/>
          <w:spacing w:val="-4"/>
          <w:sz w:val="28"/>
          <w:szCs w:val="28"/>
        </w:rPr>
      </w:pPr>
      <w:r>
        <w:rPr>
          <w:rFonts w:hint="eastAsia" w:ascii="仿宋" w:hAnsi="仿宋" w:eastAsia="仿宋" w:cs="仿宋"/>
          <w:spacing w:val="-4"/>
          <w:sz w:val="28"/>
          <w:szCs w:val="28"/>
        </w:rPr>
        <w:t>事实依据：招标文件第四章评标方法二、评分标准技术部分，评分标准存在在指向特定供应商、特定产品。具体评分标准详见附件2（质疑函）。</w:t>
      </w:r>
    </w:p>
    <w:p w14:paraId="0D58B21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投诉请求：我司针对以上的质疑答复：</w:t>
      </w:r>
      <w:r>
        <w:rPr>
          <w:rFonts w:hint="eastAsia" w:ascii="仿宋" w:hAnsi="仿宋" w:eastAsia="仿宋" w:cs="仿宋"/>
          <w:sz w:val="28"/>
          <w:szCs w:val="28"/>
        </w:rPr>
        <w:t>1.</w:t>
      </w:r>
      <w:r>
        <w:rPr>
          <w:rFonts w:hint="eastAsia" w:ascii="仿宋" w:hAnsi="仿宋" w:eastAsia="仿宋" w:cs="仿宋"/>
          <w:bCs/>
          <w:sz w:val="28"/>
          <w:szCs w:val="28"/>
        </w:rPr>
        <w:t>“国内符合招标文件性能要求的离子色谱仪、原子荧光光度计的品牌产家满足或优于本项目招标文件该项评分办法要求的品牌不少于三家，并不存在唯一性及排他性。”针对该答复，现请求采购中心要求招标代理或采购单位列出能满足招标文件的要求的3家或3家以上的离子色谱仪、原子荧光光度计的品牌清单。</w:t>
      </w:r>
      <w:r>
        <w:rPr>
          <w:rFonts w:hint="eastAsia" w:ascii="仿宋" w:hAnsi="仿宋" w:eastAsia="仿宋" w:cs="仿宋"/>
          <w:sz w:val="28"/>
          <w:szCs w:val="28"/>
        </w:rPr>
        <w:t>2.</w:t>
      </w:r>
      <w:r>
        <w:rPr>
          <w:rFonts w:hint="eastAsia" w:ascii="仿宋" w:hAnsi="仿宋" w:eastAsia="仿宋" w:cs="仿宋"/>
          <w:bCs/>
          <w:sz w:val="28"/>
          <w:szCs w:val="28"/>
        </w:rPr>
        <w:t>“故此参数设置不存在贵公司所描述的指向特定供应商、特定产品情形”。针对该答复，现请求采购中心监督中标结果，如果这2款设备中标结果是离子色谱仪（瑞士万通）、原子荧光光度计（北京海光仪器有限公司）,我司保留向纪委举报的权利。</w:t>
      </w:r>
    </w:p>
    <w:p w14:paraId="07C4EFB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被投诉人1、2称</w:t>
      </w:r>
      <w:r>
        <w:rPr>
          <w:rFonts w:hint="eastAsia" w:ascii="仿宋" w:hAnsi="仿宋" w:eastAsia="仿宋" w:cs="仿宋"/>
          <w:bCs/>
          <w:sz w:val="28"/>
          <w:szCs w:val="28"/>
        </w:rPr>
        <w:t>：</w:t>
      </w:r>
    </w:p>
    <w:p w14:paraId="74793F3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关于投诉人所称“国内符合招标文件性能要求的离子色谱仪、原子荧光光度计的评分标准指向特定品牌（瑞士万通、北京海光仪器有限公司）”的问题。</w:t>
      </w:r>
    </w:p>
    <w:p w14:paraId="1817207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该项目2024年11月15日进行了开评标，共6家投标人递交了投标电子文件，分别为：浙江砺晟节能环保设备有限公司、江西博杰纳科技有限公司、江西方文科技有限公司、上海致域信息技术有限公司、南昌欣远科学仪器有限公司、江西兰布拉科技有限公司。</w:t>
      </w:r>
    </w:p>
    <w:p w14:paraId="4716F9F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pacing w:val="-2"/>
          <w:sz w:val="28"/>
          <w:szCs w:val="28"/>
        </w:rPr>
      </w:pPr>
      <w:r>
        <w:rPr>
          <w:rFonts w:hint="eastAsia" w:ascii="仿宋" w:hAnsi="仿宋" w:eastAsia="仿宋" w:cs="仿宋"/>
          <w:bCs/>
          <w:sz w:val="28"/>
          <w:szCs w:val="28"/>
        </w:rPr>
        <w:t>（1）其中满足离子色谱仪评分标准的有两个品牌厂家，分别为劢强科技（上海）有限公司、青岛睿谱分析仪器有限公司，经前期市场调研，赛默飞世尔（上海）仪器有限公司也满足以上要求。</w:t>
      </w:r>
    </w:p>
    <w:p w14:paraId="32ED4FC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2）其中满足原子荧光光度计评审内容的有不少于三个品牌厂家满足，分别为北京海光仪器有限公司、北京锐光仪器有限公司、北京鸿信智远科技有限公司，经前期市场调研，上海安杰智创科技股份有限公司也满足以上需求。</w:t>
      </w:r>
    </w:p>
    <w:p w14:paraId="6816475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bCs/>
          <w:sz w:val="28"/>
          <w:szCs w:val="28"/>
        </w:rPr>
        <w:t>经审查，本机关认为</w:t>
      </w:r>
      <w:r>
        <w:rPr>
          <w:rFonts w:hint="eastAsia" w:ascii="仿宋" w:hAnsi="仿宋" w:eastAsia="仿宋" w:cs="仿宋"/>
          <w:sz w:val="28"/>
          <w:szCs w:val="28"/>
        </w:rPr>
        <w:t>：</w:t>
      </w:r>
    </w:p>
    <w:p w14:paraId="0E81D12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投诉事项主要为“评分标准的离子色谱仪、原子荧光光度计设备参数存在指向性、偏向性”的问题。</w:t>
      </w:r>
    </w:p>
    <w:p w14:paraId="7D5960F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经查看采购文件，该项目采购需求中明确有“离子色谱仪、原子荧光光度计”以及相应的参数要求。并同时将“离子色谱仪、原子荧光光度计”作为评审因素，符合《政府采购货物和服务招标投标管理办法》第五十五条第三款的规定：“评审因素应当细化和量化，且与相应的商务条件和采购需求对应。”其次，评审因素中的“离子色谱仪、原子荧光光度计”的参数分别具有符合条件的三家及以上的品牌能满足：（1）其中满足离子色谱仪评分标准的有劢强科技（上海）有限公司、青岛睿谱分析仪器有限公司、赛默飞世尔（上海）仪器有限公司满足以上要求。（2）其中满足原子荧光光度计评审内容的有北京海光仪器有限公司、北京锐光仪器有限公司、北京鸿信智远科技有限公司、上海安杰智创科技股份有限公司。</w:t>
      </w:r>
    </w:p>
    <w:p w14:paraId="147B295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pacing w:val="-2"/>
          <w:sz w:val="28"/>
          <w:szCs w:val="28"/>
        </w:rPr>
      </w:pPr>
      <w:r>
        <w:rPr>
          <w:rFonts w:hint="eastAsia" w:ascii="仿宋" w:hAnsi="仿宋" w:eastAsia="仿宋" w:cs="仿宋"/>
          <w:sz w:val="28"/>
          <w:szCs w:val="28"/>
        </w:rPr>
        <w:t>经查看项目合格供应商的投标文件，满足“离子色谱仪、原子荧光光度计”的参数品牌也为不同的品牌，并非同一家。该评审因素的设置未违反相应规定，并不存在指向性和排他性。</w:t>
      </w:r>
    </w:p>
    <w:p w14:paraId="0C40832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综上，投诉人的投诉无事实依据，投诉事项不成立。</w:t>
      </w:r>
    </w:p>
    <w:p w14:paraId="770A644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以上事实有下列证据为证：</w:t>
      </w:r>
    </w:p>
    <w:p w14:paraId="7BB89D3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1.投诉人《投诉书》</w:t>
      </w:r>
    </w:p>
    <w:p w14:paraId="176B27A0">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spacing w:val="-4"/>
          <w:sz w:val="28"/>
          <w:szCs w:val="28"/>
        </w:rPr>
      </w:pPr>
      <w:r>
        <w:rPr>
          <w:rFonts w:hint="eastAsia" w:ascii="仿宋" w:hAnsi="仿宋" w:eastAsia="仿宋" w:cs="仿宋"/>
          <w:spacing w:val="-2"/>
          <w:sz w:val="28"/>
          <w:szCs w:val="28"/>
        </w:rPr>
        <w:t>2</w:t>
      </w:r>
      <w:r>
        <w:rPr>
          <w:rFonts w:hint="eastAsia" w:ascii="仿宋" w:hAnsi="仿宋" w:eastAsia="仿宋" w:cs="仿宋"/>
          <w:sz w:val="28"/>
          <w:szCs w:val="28"/>
        </w:rPr>
        <w:t>.被投诉人</w:t>
      </w:r>
      <w:r>
        <w:rPr>
          <w:rFonts w:hint="eastAsia" w:ascii="仿宋" w:hAnsi="仿宋" w:eastAsia="仿宋" w:cs="仿宋"/>
          <w:spacing w:val="-4"/>
          <w:sz w:val="28"/>
          <w:szCs w:val="28"/>
        </w:rPr>
        <w:t>《投诉答复说明》</w:t>
      </w:r>
    </w:p>
    <w:p w14:paraId="6D9D00A0">
      <w:pPr>
        <w:keepNext w:val="0"/>
        <w:keepLines w:val="0"/>
        <w:pageBreakBefore w:val="0"/>
        <w:widowControl w:val="0"/>
        <w:kinsoku/>
        <w:wordWrap/>
        <w:overflowPunct/>
        <w:topLinePunct w:val="0"/>
        <w:autoSpaceDE/>
        <w:autoSpaceDN/>
        <w:bidi w:val="0"/>
        <w:adjustRightInd/>
        <w:snapToGrid/>
        <w:spacing w:line="240" w:lineRule="auto"/>
        <w:ind w:firstLine="544" w:firstLineChars="200"/>
        <w:textAlignment w:val="auto"/>
        <w:rPr>
          <w:rFonts w:hint="eastAsia" w:ascii="仿宋" w:hAnsi="仿宋" w:eastAsia="仿宋" w:cs="仿宋"/>
          <w:sz w:val="28"/>
          <w:szCs w:val="28"/>
        </w:rPr>
      </w:pPr>
      <w:r>
        <w:rPr>
          <w:rFonts w:hint="eastAsia" w:ascii="仿宋" w:hAnsi="仿宋" w:eastAsia="仿宋" w:cs="仿宋"/>
          <w:spacing w:val="-4"/>
          <w:sz w:val="28"/>
          <w:szCs w:val="28"/>
        </w:rPr>
        <w:t>3.</w:t>
      </w:r>
      <w:r>
        <w:rPr>
          <w:rFonts w:hint="eastAsia" w:ascii="仿宋" w:hAnsi="仿宋" w:eastAsia="仿宋" w:cs="仿宋"/>
          <w:sz w:val="28"/>
          <w:szCs w:val="28"/>
        </w:rPr>
        <w:t>本项目招标文件</w:t>
      </w:r>
    </w:p>
    <w:p w14:paraId="36AEF6C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eastAsia="黑体"/>
          <w:sz w:val="28"/>
          <w:szCs w:val="28"/>
        </w:rPr>
      </w:pPr>
      <w:r>
        <w:rPr>
          <w:rFonts w:eastAsia="黑体"/>
          <w:sz w:val="28"/>
          <w:szCs w:val="28"/>
        </w:rPr>
        <w:t>五、处理依据及结果</w:t>
      </w:r>
    </w:p>
    <w:p w14:paraId="58068F0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根据《政府采购质疑和投诉办法》（财政部令第94号）第二十九条第一款第（二）项之规定，本机关决定：驳回投诉。</w:t>
      </w:r>
    </w:p>
    <w:p w14:paraId="76733EA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szCs w:val="32"/>
        </w:rPr>
      </w:pPr>
      <w:r>
        <w:rPr>
          <w:rFonts w:ascii="黑体" w:hAnsi="黑体" w:eastAsia="黑体" w:cs="仿宋"/>
          <w:sz w:val="28"/>
          <w:szCs w:val="28"/>
        </w:rPr>
        <w:t>六</w:t>
      </w:r>
      <w:r>
        <w:rPr>
          <w:rFonts w:hint="eastAsia" w:ascii="黑体" w:hAnsi="黑体" w:eastAsia="黑体" w:cs="仿宋"/>
          <w:sz w:val="28"/>
          <w:szCs w:val="28"/>
        </w:rPr>
        <w:t>、其他补充事宜</w:t>
      </w:r>
    </w:p>
    <w:p w14:paraId="28038BD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如对上述处理决定不服，当事人可在收到本决定书起60日内依法向宜春市人民政府申请行政复议或者六个月内依法向上高县人民法院提起行政诉讼。</w:t>
      </w:r>
    </w:p>
    <w:p w14:paraId="705AA988">
      <w:pPr>
        <w:ind w:firstLine="560" w:firstLineChars="200"/>
        <w:rPr>
          <w:rFonts w:hint="eastAsia" w:ascii="仿宋" w:hAnsi="仿宋" w:eastAsia="仿宋" w:cs="仿宋"/>
          <w:sz w:val="28"/>
          <w:szCs w:val="28"/>
          <w:u w:val="none"/>
        </w:rPr>
      </w:pPr>
    </w:p>
    <w:p w14:paraId="15ADC408">
      <w:pPr>
        <w:ind w:firstLine="560" w:firstLineChars="200"/>
        <w:rPr>
          <w:rFonts w:hint="eastAsia" w:ascii="仿宋" w:hAnsi="仿宋" w:eastAsia="仿宋" w:cs="仿宋"/>
          <w:sz w:val="28"/>
          <w:szCs w:val="28"/>
          <w:u w:val="none"/>
        </w:rPr>
      </w:pPr>
    </w:p>
    <w:p w14:paraId="470B5830">
      <w:pPr>
        <w:ind w:firstLine="560" w:firstLineChars="200"/>
        <w:rPr>
          <w:rFonts w:hint="eastAsia" w:ascii="仿宋" w:hAnsi="仿宋" w:eastAsia="仿宋" w:cs="仿宋"/>
          <w:sz w:val="28"/>
          <w:szCs w:val="28"/>
          <w:u w:val="none"/>
        </w:rPr>
      </w:pPr>
    </w:p>
    <w:p w14:paraId="29566684">
      <w:pPr>
        <w:rPr>
          <w:sz w:val="28"/>
          <w:szCs w:val="28"/>
        </w:rPr>
      </w:pPr>
    </w:p>
    <w:p w14:paraId="55FB9B52"/>
    <w:p w14:paraId="05522E7A">
      <w:pPr>
        <w:widowControl/>
        <w:ind w:firstLine="5600" w:firstLineChars="2000"/>
        <w:jc w:val="left"/>
        <w:rPr>
          <w:rFonts w:hint="eastAsia" w:ascii="仿宋" w:hAnsi="仿宋" w:eastAsia="仿宋" w:cs="仿宋"/>
          <w:sz w:val="28"/>
          <w:szCs w:val="28"/>
        </w:rPr>
      </w:pPr>
      <w:r>
        <w:rPr>
          <w:rFonts w:hint="eastAsia" w:ascii="仿宋" w:hAnsi="仿宋" w:eastAsia="仿宋" w:cs="仿宋"/>
          <w:sz w:val="28"/>
          <w:szCs w:val="28"/>
        </w:rPr>
        <w:t>宜春市财政局</w:t>
      </w:r>
    </w:p>
    <w:p w14:paraId="28F32853">
      <w:pPr>
        <w:widowControl/>
        <w:ind w:right="300" w:firstLine="5320" w:firstLineChars="1900"/>
        <w:jc w:val="both"/>
      </w:pPr>
      <w:r>
        <w:rPr>
          <w:rFonts w:hint="eastAsia" w:ascii="仿宋" w:hAnsi="仿宋" w:eastAsia="仿宋" w:cs="仿宋"/>
          <w:sz w:val="28"/>
          <w:szCs w:val="28"/>
        </w:rPr>
        <w:t>2024年12月10日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14:paraId="3BD446F9">
        <w:pPr>
          <w:pStyle w:val="9"/>
          <w:jc w:val="center"/>
        </w:pPr>
        <w:r>
          <w:fldChar w:fldCharType="begin"/>
        </w:r>
        <w:r>
          <w:instrText xml:space="preserve">PAGE   \* MERGEFORMAT</w:instrText>
        </w:r>
        <w:r>
          <w:fldChar w:fldCharType="separate"/>
        </w:r>
        <w:r>
          <w:rPr>
            <w:lang w:val="zh-CN"/>
          </w:rPr>
          <w:t>1</w:t>
        </w:r>
        <w:r>
          <w:fldChar w:fldCharType="end"/>
        </w:r>
      </w:p>
    </w:sdtContent>
  </w:sdt>
  <w:p w14:paraId="73D5BCCB">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1DE4120"/>
    <w:rsid w:val="02A97FD3"/>
    <w:rsid w:val="102371CA"/>
    <w:rsid w:val="17B20E6E"/>
    <w:rsid w:val="1CC84349"/>
    <w:rsid w:val="216F57E1"/>
    <w:rsid w:val="217C6D52"/>
    <w:rsid w:val="25297DD9"/>
    <w:rsid w:val="30542E26"/>
    <w:rsid w:val="343902AC"/>
    <w:rsid w:val="37253E8A"/>
    <w:rsid w:val="37F73E46"/>
    <w:rsid w:val="3CC94683"/>
    <w:rsid w:val="3D8569E6"/>
    <w:rsid w:val="3FC438CC"/>
    <w:rsid w:val="494A433D"/>
    <w:rsid w:val="4DC501DE"/>
    <w:rsid w:val="59750590"/>
    <w:rsid w:val="5A44567C"/>
    <w:rsid w:val="624618AF"/>
    <w:rsid w:val="6F49019A"/>
    <w:rsid w:val="6FB53E4B"/>
    <w:rsid w:val="739E555E"/>
    <w:rsid w:val="79E306C6"/>
    <w:rsid w:val="7A127E1E"/>
    <w:rsid w:val="7E6C6C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autoRedefine/>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autoRedefine/>
    <w:qFormat/>
    <w:uiPriority w:val="0"/>
    <w:pPr>
      <w:spacing w:after="120" w:line="480" w:lineRule="auto"/>
    </w:pPr>
  </w:style>
  <w:style w:type="paragraph" w:styleId="14">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autoRedefine/>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8"/>
    <w:autoRedefine/>
    <w:semiHidden/>
    <w:unhideWhenUsed/>
    <w:qFormat/>
    <w:uiPriority w:val="99"/>
    <w:rPr>
      <w:sz w:val="21"/>
      <w:szCs w:val="21"/>
    </w:rPr>
  </w:style>
  <w:style w:type="character" w:customStyle="1" w:styleId="21">
    <w:name w:val="页眉 Char"/>
    <w:basedOn w:val="18"/>
    <w:link w:val="10"/>
    <w:autoRedefine/>
    <w:qFormat/>
    <w:uiPriority w:val="99"/>
    <w:rPr>
      <w:sz w:val="18"/>
      <w:szCs w:val="18"/>
    </w:rPr>
  </w:style>
  <w:style w:type="character" w:customStyle="1" w:styleId="22">
    <w:name w:val="页脚 Char"/>
    <w:basedOn w:val="18"/>
    <w:link w:val="9"/>
    <w:autoRedefine/>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autoRedefine/>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autoRedefine/>
    <w:semiHidden/>
    <w:qFormat/>
    <w:uiPriority w:val="99"/>
    <w:rPr>
      <w:rFonts w:ascii="Times New Roman" w:hAnsi="Times New Roman" w:eastAsia="宋体" w:cs="Times New Roman"/>
      <w:sz w:val="18"/>
      <w:szCs w:val="18"/>
    </w:rPr>
  </w:style>
  <w:style w:type="character" w:customStyle="1" w:styleId="29">
    <w:name w:val="正文文本 2 Char"/>
    <w:basedOn w:val="18"/>
    <w:link w:val="13"/>
    <w:autoRedefine/>
    <w:qFormat/>
    <w:uiPriority w:val="0"/>
    <w:rPr>
      <w:rFonts w:ascii="Times New Roman" w:hAnsi="Times New Roman" w:eastAsia="宋体" w:cs="Times New Roman"/>
      <w:szCs w:val="21"/>
    </w:rPr>
  </w:style>
  <w:style w:type="character" w:customStyle="1" w:styleId="30">
    <w:name w:val="批注主题 Char"/>
    <w:basedOn w:val="25"/>
    <w:link w:val="15"/>
    <w:autoRedefine/>
    <w:semiHidden/>
    <w:qFormat/>
    <w:uiPriority w:val="99"/>
    <w:rPr>
      <w:rFonts w:ascii="Times New Roman" w:hAnsi="Times New Roman" w:eastAsia="宋体" w:cs="Times New Roman"/>
      <w:b/>
      <w:bCs/>
      <w:szCs w:val="21"/>
    </w:rPr>
  </w:style>
  <w:style w:type="character" w:customStyle="1" w:styleId="31">
    <w:name w:val="纯文本 字符"/>
    <w:basedOn w:val="18"/>
    <w:autoRedefine/>
    <w:semiHidden/>
    <w:qFormat/>
    <w:uiPriority w:val="99"/>
    <w:rPr>
      <w:rFonts w:hAnsi="Courier New" w:cs="Courier New" w:asciiTheme="minorEastAsia"/>
      <w:szCs w:val="21"/>
    </w:rPr>
  </w:style>
  <w:style w:type="paragraph" w:styleId="32">
    <w:name w:val="List Paragraph"/>
    <w:basedOn w:val="1"/>
    <w:autoRedefine/>
    <w:qFormat/>
    <w:uiPriority w:val="34"/>
    <w:pPr>
      <w:ind w:firstLine="420" w:firstLineChars="200"/>
    </w:pPr>
  </w:style>
  <w:style w:type="paragraph" w:customStyle="1" w:styleId="33">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1765</Words>
  <Characters>1818</Characters>
  <Lines>57</Lines>
  <Paragraphs>16</Paragraphs>
  <TotalTime>0</TotalTime>
  <ScaleCrop>false</ScaleCrop>
  <LinksUpToDate>false</LinksUpToDate>
  <CharactersWithSpaces>1818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张鸿逸</cp:lastModifiedBy>
  <cp:lastPrinted>2020-03-23T07:37:00Z</cp:lastPrinted>
  <dcterms:modified xsi:type="dcterms:W3CDTF">2024-12-12T07:21:15Z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EA636093397849099BF608A164FA0AE1_13</vt:lpwstr>
  </property>
</Properties>
</file>