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35393834"/>
      <w:bookmarkStart w:id="1" w:name="_Toc28359044"/>
      <w:r>
        <w:rPr>
          <w:rFonts w:hint="eastAsia" w:ascii="华文中宋" w:hAnsi="华文中宋" w:eastAsia="华文中宋"/>
          <w:lang w:val="en-US" w:eastAsia="zh-CN"/>
        </w:rPr>
        <w:t>投诉</w:t>
      </w:r>
      <w:r>
        <w:rPr>
          <w:rFonts w:hint="eastAsia" w:ascii="华文中宋" w:hAnsi="华文中宋" w:eastAsia="华文中宋"/>
        </w:rPr>
        <w:t>处理结果公告</w:t>
      </w:r>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安和-YC2023-002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宜春学院实验室管理中心实验室通风系统采购项目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当事人1：</w:t>
      </w:r>
      <w:r>
        <w:rPr>
          <w:rFonts w:hint="eastAsia" w:ascii="仿宋" w:hAnsi="仿宋" w:eastAsia="仿宋"/>
          <w:sz w:val="28"/>
          <w:szCs w:val="28"/>
          <w:u w:val="single"/>
        </w:rPr>
        <w:t>　宜春市三民医疗器械有限公司</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江西省宜春市袁州区锦绣大道国际商贸城112栋8号</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当事人2：</w:t>
      </w:r>
      <w:r>
        <w:rPr>
          <w:rFonts w:hint="eastAsia" w:ascii="仿宋" w:hAnsi="仿宋" w:eastAsia="仿宋"/>
          <w:sz w:val="28"/>
          <w:szCs w:val="28"/>
          <w:u w:val="single"/>
        </w:rPr>
        <w:t>　　江西安和招标代理有限公司</w:t>
      </w:r>
      <w:r>
        <w:rPr>
          <w:rFonts w:hint="eastAsia" w:ascii="仿宋" w:hAnsi="仿宋" w:eastAsia="仿宋"/>
          <w:sz w:val="28"/>
          <w:szCs w:val="28"/>
          <w:u w:val="single"/>
          <w:lang w:val="en-US" w:eastAsia="zh-CN"/>
        </w:rPr>
        <w:t xml:space="preserve">   </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江西省宜春市袁州区宜阳大道嘉信广场5楼</w:t>
      </w:r>
      <w:r>
        <w:rPr>
          <w:rFonts w:hint="eastAsia" w:ascii="仿宋" w:hAnsi="仿宋" w:eastAsia="仿宋"/>
          <w:sz w:val="28"/>
          <w:szCs w:val="28"/>
          <w:u w:val="single"/>
        </w:rPr>
        <w:t>　　　　　</w:t>
      </w:r>
    </w:p>
    <w:p>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lang w:val="en-US" w:eastAsia="zh-CN"/>
        </w:rPr>
        <w:t>当事人3：</w:t>
      </w:r>
      <w:r>
        <w:rPr>
          <w:rFonts w:hint="eastAsia" w:ascii="仿宋" w:hAnsi="仿宋" w:eastAsia="仿宋"/>
          <w:sz w:val="28"/>
          <w:szCs w:val="28"/>
          <w:u w:val="single"/>
          <w:lang w:val="en-US" w:eastAsia="zh-CN"/>
        </w:rPr>
        <w:t xml:space="preserve">     宜春学院       </w:t>
      </w:r>
    </w:p>
    <w:p>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u w:val="none"/>
          <w:lang w:val="en-US" w:eastAsia="zh-CN"/>
        </w:rPr>
        <w:t>地 址：</w:t>
      </w:r>
      <w:r>
        <w:rPr>
          <w:rFonts w:hint="eastAsia" w:ascii="仿宋" w:hAnsi="仿宋" w:eastAsia="仿宋"/>
          <w:sz w:val="28"/>
          <w:szCs w:val="28"/>
          <w:u w:val="single"/>
          <w:lang w:val="en-US" w:eastAsia="zh-CN"/>
        </w:rPr>
        <w:t xml:space="preserve">    江西省宜春市袁州区学府路576号         </w:t>
      </w:r>
    </w:p>
    <w:p>
      <w:pPr>
        <w:rPr>
          <w:rFonts w:ascii="黑体" w:hAnsi="黑体" w:eastAsia="黑体"/>
          <w:sz w:val="28"/>
          <w:szCs w:val="28"/>
        </w:rPr>
      </w:pPr>
      <w:r>
        <w:rPr>
          <w:rFonts w:hint="eastAsia" w:ascii="黑体" w:hAnsi="黑体" w:eastAsia="黑体"/>
          <w:sz w:val="28"/>
          <w:szCs w:val="28"/>
        </w:rPr>
        <w:t>四、基本情况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因对被投诉人质疑答复不满意，于2023年4月24日向本机关提起投诉。本机关审查后依法受理，于2023年4月25日向被投诉人发出《政府采购投诉答复通知书》，被投诉人按要求作出回复。投诉事项现已审查结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投诉事项1：招标文件第17页聚丁烯（PB）复合板1、密度：≧1.75g/㎝³，满足以上要求的得1分，不满足不得分。2、总挥发性有机物含量TVOC/(g/L)≦0.4, 满足以上要求的得1分，不满足不得分。3、甲醛释放量/（mg/L)≦0.1, 满足以上要求的得1分，不满足不得分。评审依据：提供所投“聚丁烯（PB）复合板”国家认可第三方正规检测机构出具的符合上述参数的检验报告复印件加盖制造商公章的扫描件及生产厂家针对本项目产品质保承诺书（格式自拟）佐证。以及招标文件第28页（4）内衬板：采用5mm厚聚丁烯(PB)复合板。还有招标文件第20页中采购清单及技术要求：中央台④内衬层板:采用6mm厚聚丁烯(PB)复合板。符合实验室防火等级要求。聚丁烯（PB）复合板技术要求：a密度：≥1.5g/㎝³ ；b吸水性（率）：≤0.02；c弯曲强度：&gt;20MPa； d压缩强度：≥25MPa；e具有燃烧性能和耐化学试剂（含氢氧化钠、硫酸、盐酸溶液）检测；f冲击强度：≥15KJ/㎡； g弯曲模量：≥500MPa；提供第三方权威检测机构出具的检测报告扫描件并加盖制造商公章的扫描件进行佐证。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事实依据：回复函中未对质疑事项1进行有效回复。1.招标文件第17页聚丁烯（PB)复合板的评审依据未提供国家标准依据，并且要求提供以上3项检测报告。招标文件第31页第4、PB聚丁烯复合板管道评审依据未提供国家标准依据，要求提供以上7项检测报告。并且此条款为完全响应条款，不满足则做无效投标处理。以上2条针对聚丁烯（PB)材料，要求潜在供应商提供超过10个检测报告，其中1条还是完全响应条款，并且以上2条无任何国家标准规范。我司强烈投诉其控标锁标行为，利用非主材提供过多无国家规范性要求的检测报告，从而排斥其他潜在供应商行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投诉事项2：招标文件第17页技术部分（50分）陶瓷台面3、弯曲弹性模量：参照GB/T26696-2011 6.17标准，弯曲弹性模量值≥57000MPa。满足此项要求得2分，其它不得分。评审依据：提供所投“陶瓷台面”国家认可第三方权威检测机构出具的符合上述参数的检验报告复印件加盖制造商公章的扫描件及提供生产厂家针对本项目产品质保承诺书（格式自拟）佐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事实依据：以上条款要求重高于市面上工业陶瓷板本身性能，并且超过规范要求，弯曲弹性模量/MPa， GB/T26696-2011规范中理化性能要求要对实验室家具明确指出≥5000，但是本招标文件中却要求≥57000MPa。我司质疑其检测报告真实性，要求此条款检测报告必须具备CNAS或者MA标志。我司投诉此条款具有严重唯一性，指向性，利用过高数值排斥潜在供应商行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投诉事项3：招标文件第17页图纸1、投标文件中须提供完善的管道平面布置图；2、投标文件中须提供完善的通风系统图；3、投标文件中须提供完善的房间布置效果图。</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事实依据：此条款要求提供面布置图、通风系统图、房间布置效果图。本项目为货物采购，风管的尺寸和数量：包括风的功率大小和数量，以及通风柜的数量和尺寸己经明确了。那么本项目是进行过事前的暖通设计的，才能得出需要采购的设备数量和型号尺寸。要求在固定设备数量及尺寸前提下再进行管道设计：这是非常不合理的要求。并且招标文件都没有附上设备安装区域的相关水电结构等框架图纸，仅仅给一个现场地址，并不满足短期暖通设计前提条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被投诉人1称：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1：宜春市三民医疗器械有限公司认为本项目利用非主材提供过多无国家规范性要求的检测报告排斥其他潜在供应商行为。经我公司向甲方使用部门了解的情况，该项目为教学类化学实验室建设，因此要求所使用实验室设备必须是耐酸碱，阻燃耐高温，无化学反应，经得住时间的考验，而招标文件要求的聚丁烯（PB）复合板是用于该项目的实验台柜内衬板及通风风管，故而不存在该公司质疑的聚丁烯（PB）复合板是非主材。另外根据甲方提供的说明资料，招标文件关于“聚丁烯（PB）复合板”的参数及评分要求的内容均对应了国家相关标准，详细如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1.密度：≥1.5g/㎝³ ；GB/T  1033.1-2008 塑料 非泡沫塑料密度的测定 第1部分：浸渍法、液体比重瓶法和滴定法；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2.吸水性（率）：≤0.02；GB/T 1034-2008 塑料 吸水性的测定；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3.弯曲强度：&gt;20MPa；GB/T 9341-2008</w:t>
      </w:r>
      <w:r>
        <w:rPr>
          <w:rFonts w:hint="eastAsia" w:ascii="仿宋_GB2312" w:hAnsi="仿宋_GB2312" w:eastAsia="仿宋_GB2312" w:cs="仿宋_GB2312"/>
          <w:sz w:val="28"/>
          <w:szCs w:val="28"/>
          <w:u w:val="none"/>
        </w:rPr>
        <w:tab/>
      </w:r>
      <w:r>
        <w:rPr>
          <w:rFonts w:hint="eastAsia" w:ascii="仿宋_GB2312" w:hAnsi="仿宋_GB2312" w:eastAsia="仿宋_GB2312" w:cs="仿宋_GB2312"/>
          <w:sz w:val="28"/>
          <w:szCs w:val="28"/>
          <w:u w:val="none"/>
        </w:rPr>
        <w:t>塑料 弯曲性能的测定；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4.压缩强度：≥25MPa；GB/T 1041-2008 塑料 压缩性能的测定；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5.具有燃烧性能和耐化学试剂（含氢氧化钠、硫酸、盐酸溶液）检测；GB/T 11547-2008 塑料 耐液体化学试剂性能的测定；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6.冲击强度：≥15KJ/㎡；GB/T 1043.1-2008 塑料 简支梁冲击性能的测定 第1部分：非仪器化冲击试验；</w:t>
      </w:r>
      <w:r>
        <w:rPr>
          <w:rFonts w:hint="eastAsia" w:ascii="仿宋_GB2312" w:hAnsi="仿宋_GB2312" w:eastAsia="仿宋_GB2312" w:cs="仿宋_GB2312"/>
          <w:sz w:val="28"/>
          <w:szCs w:val="28"/>
          <w:u w:val="none"/>
        </w:rPr>
        <w:tab/>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7.弯曲模量：≥500MPa；GB/T 9341-2008 塑料 弯曲性能的测定；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政府采购评分表及说明：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1.密度：≧1.75g/㎝³，GB/T  1033.1-2008 塑料 非泡沫塑料密度的测定 第1部分：浸渍法、液体比重瓶法和滴定法；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2.总挥发性有机物含量TVOC/(g/L)≦0.4,GB/T 18583-2008室内装饰装修材料胶粘剂中有害物质限量；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3.甲醛释放量/（mg/L)≦0.1,GB 18580-2017 室内装饰装修材料人造板及其制品中甲醛释放限量；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招标文件中要求提供国家认可的第三方权威机构的检测报告而非具备“CMA/CNAS”标志的检测报告，是因为目前国家认可的检测机构其标志有所不同（其中就有“CAL”标志），招标文件要求国家认可的第三方权威机构就已经包含了具有“CMA/CNAS”标志的检测机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投诉事项2：宜春市三民医疗器械有限公司要求提供具备“CMA/CNAS”标志的检测报告用于佐证“招标文件第16页陶瓷台面3、弯曲弹性模量：参照 GB/T 26696-2011 6.17 标准，弯曲弹性模量值≥57000MPa。”而招标文件仅要求提供国家认可的第三方权威机构出具的检测报告这一要求，是为了让更多的获得其他权威检测机构出具检测报告的供应商参与投标。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3：招标文件要求完善“管道的平面布置走向图，通风系统图”设置此条的原由就是想让潜在投标人根据现场情况完善出合理科学的方案图纸优中选优，要求完善“房间布置的效果图”设置此条的原由是想潜在投标人建设完成后效果。此条也可以侧面验证潜在供应商的公司实力是否具备履行合同的能力及专业技术能力，贵司如有完成过类似项目的经验，2号楼4楼南面为次顶楼，水电及装修土建方已经完成，风机及尾气处理系统放置在楼顶，可现场勘察根据现场完善图纸，如有疑问的地方，可随时和采购单位联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被投诉人2称：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1：经我单位核查，“聚丁烯（PB）是一种高分子惰性聚合物，因其优异的物理化学性能被誉为‘塑料中的黄金’，最早出现于70年代初。PB具有优异的耐温性、耐持久性、化学稳定性和可塑性，无味、无毒，是目前世界上最尖端的化学材料之一”。将此项作为评分项符合《政府采购货物和服务招标投标管理办法》第五十五条“评审因素的设定应当与投标人所提供货物服务的质量相关之规定”；该公司质疑的非主材，该项目为教学类化学实验室建设要求必须是耐酸碱，阻燃耐高温，无化学反应，经得住时间的考验，聚丁烯（PB）复合板用于该项目的实验台柜内衬板及通风风管，故而不存在贵公司质疑聚丁烯（PB）复合板是非主材。</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该公司提出的无国家规范性要求的检测报告，经我单位核查了解的情况如下：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采购清单及技术要求：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1.密度：≥1.5g/㎝³ ；GB/T 1033.1-2008 塑料 非泡沫塑料密度的测定 第1部分：浸渍法、液体比重瓶法和滴定法；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2.吸水性（率）：≤0.02；GB/T 1034-2008 塑料 吸水性的测定；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3.弯曲强度：&gt;20MPa；GB/T 9341-2008</w:t>
      </w:r>
      <w:r>
        <w:rPr>
          <w:rFonts w:hint="eastAsia" w:ascii="仿宋_GB2312" w:hAnsi="仿宋_GB2312" w:eastAsia="仿宋_GB2312" w:cs="仿宋_GB2312"/>
          <w:sz w:val="28"/>
          <w:szCs w:val="28"/>
          <w:u w:val="none"/>
        </w:rPr>
        <w:tab/>
      </w:r>
      <w:r>
        <w:rPr>
          <w:rFonts w:hint="eastAsia" w:ascii="仿宋_GB2312" w:hAnsi="仿宋_GB2312" w:eastAsia="仿宋_GB2312" w:cs="仿宋_GB2312"/>
          <w:sz w:val="28"/>
          <w:szCs w:val="28"/>
          <w:u w:val="none"/>
        </w:rPr>
        <w:t>塑料 弯曲性能的测定；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4.压缩强度：≥25MPa；GB/T 1041-2008 塑料 压缩性能的测定；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5.具有燃烧性能和耐化学试剂（含氢氧化钠、硫酸、盐酸溶液）检测；GB/T11547-2008 塑料 耐液体化学试剂性能的测定；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6.冲击强度：≥15KJ/㎡；GB/T 1043.1-2008 塑料 简支梁冲击性能的测定 第1部分：非仪器化冲击试验 ；</w:t>
      </w:r>
      <w:r>
        <w:rPr>
          <w:rFonts w:hint="eastAsia" w:ascii="仿宋_GB2312" w:hAnsi="仿宋_GB2312" w:eastAsia="仿宋_GB2312" w:cs="仿宋_GB2312"/>
          <w:sz w:val="28"/>
          <w:szCs w:val="28"/>
          <w:u w:val="none"/>
        </w:rPr>
        <w:tab/>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7.弯曲模量：≥500MPa；GB/T 9341-2008 塑料 弯曲性能的测定；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政府采购评分表及说明：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1.密度：≧1.75g/㎝³，GB/T 1033.1-2008 塑料 非泡沫塑料密度的测定第1部分：浸渍法、液体比重瓶法和滴定法；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2.总挥发性有机物含量TVOC/(g/L)≦0.4,GB/T 18583-2008 室内装饰装修材料胶粘剂中有害物质限量；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3.甲醛释放量/（mg/L)≦0.1,GB 18580-2017 室内装饰装修材料人造板及其制品中甲醛释放限量；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根据上述内容可知，不存在该公司所说的聚丁烯（PB）复合板无国家标准规范。</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2：依据《政府采购货物和服务招标投标管理办法》第十一条“（三）采购标的需满足的质量、安全、技术规格、物理特性等要求”招标文件中所公示的技术参数为本次招标活动的指导性技术参数，并非唯一指定。投标人可以使用任何满足招标相关参数的产品应标，技术参数的设置是为了能够使用性能最全面，质量最好的产品来满足使用方对实验室的建设需求，在检测技术实现上，这些参数都不存在独有性。此次招标要求弯曲弹性模量值≥57000MPa与本次招标采购货物质量相关，弯曲弹性是因为材料受到弯曲力的作用，内部分子被拉伸和压缩，形成了残余应力。这些残余应力使得材料在撤除外力后，会产生一定的弹性变形。影响回弹的因素主要有弯曲程度、材料类型、材料厚度、弯曲速度等。在实际生产中，需要通过调整这些因素来控制回弹程度，以保证产品的质量和尺寸精度。符合《政府采购货物和服务招标投标管理办法》第五十五条及第十一条，另外该公司要求：检测报告必须具备CNAS或者CMA标志，据我单位了解，招标文件要求提供国家认可的第三方检测机构出具的检验报告涵盖了具备CMA/CNAS标志的检测报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3：依据《政府采购货物和服务招标投标管理办法》第五十五条“综合评分法，是指投标文件满足招标文件全部实质性要求，且按照评审因素的量化指标评审得分最高的投标人为中标候选人的评标方法。评审因素的设定应当与投标人所提供货物服务的质量相关，包括投标报价、技术或者服务水平、履约能力、售后服务等。资格条件不得作为评审因素。评审因素应当在招标文件中规定。”此条仅为加分项，非必须满足的废标项，招标文件设置该项评分要求目的就是想让潜在投标人根据现场情况给出合理科学的方案图纸优中选优，及潜在投标人建设完成本项目后效果。此条也可以侧面验证潜在供应商的公司实力是否具备履行本项目合同的能力及专业技术能力。该公司若有完成过类似项目的经验，可以跟招标文件提供的资料及我校项目所在地的实际情况给出相关图纸。各潜在的投标人如有疑问的地方，可随时和我单位联系。</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28"/>
          <w:szCs w:val="28"/>
          <w:u w:val="none"/>
        </w:rPr>
      </w:pPr>
      <w:r>
        <w:rPr>
          <w:rFonts w:hint="eastAsia" w:ascii="黑体" w:hAnsi="黑体" w:eastAsia="黑体" w:cs="黑体"/>
          <w:sz w:val="28"/>
          <w:szCs w:val="28"/>
          <w:u w:val="none"/>
        </w:rPr>
        <w:t>五、处理依据及结果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经调查，本机关认为：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投诉事项1：根据《政府采购货物和服务招标投标管理办法》（财政部令第87号）第五十五条的规定，评审因素的设定应当与投标人所提供货物服务的质量相关，包括投标报价、技术或者服务水平、履约能力、售后服务等。采购人的投诉回复中已说明聚丁烯（PB）材料的采购需求及聚丁烯（PB）复合板用于该项目的实验台柜内衬板及通风风管，否认聚丁烯（PB）复合板是非主材，并列明相关技术要求的国标规范。此项目采购文件-采购清单及技术要求中，该项目的中央台、边台④内衬层板及通风柜10风管要求聚丁烯（PB）复合板。</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投诉事项2：此项目招标要求弯曲弹性模量值≥57000MPa未提出相关依据。采购人回复称招标要求弯曲弹性模量值≥57000MPa与本次招标采购货物质量相关，弯曲弹性是因为材料受到弯曲力的作用，内部分子被拉伸和压缩，形成了残余应力。这些残余应力使得材料在撤除外力后，会产生一定的弹性变形。影响回弹的因素主要有弯曲程度、材料类型、材料厚度、弯曲速度等。在实际生产中，需要通过调整这些因素来控制回弹程度，以保证产品的质量和尺寸精度。符合《政府采购货物和服务招标投标管理办法》第五十五条及第十一条。投诉人提出以上条款要求重高于市面上工业陶瓷板本身性能，并且超过规范要求，弯曲弹性模量/MPa， GB/T26696-2011规范中理化性能要求要对实验室家具明确指出≥5000，采购人回复称此项目招标要求弯曲弹性模量值≥57000MPa与本次招标采购货物质量相关，超出国标规范10倍之多，远超实际合理范围，未拿出相关依据。根据《政府采购质疑和投诉办法》（财政部令94号）第二十五条的规定，应当由投诉人承担举证责任的投诉事项，投诉人未提供相关证据、依据和其他有关材料的，视为该投诉事项不成立；被投诉人未按照投诉答复通知书要求提交相关证据、依据和其他有关材料的，视同其放弃说明权利，依法承担不利后果。采购人未根据投诉事项提供相关证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3.投诉事项3：评审因素与采购需求不对应。此项目采购文件-第二部分 投标人须知-一、总则-7.7本项目采购标的对应的中心企业划分标准所属行业为货物类采购。根据《政府采购货物和服务招标投标管理办法》（财政部令第87号）第五十五条第三款的规定，评审因素应当细化和量化，且与相应的商务条件和采购需求对应。本项目采购文件评审因素中，技术部分－图纸：“1.投标文件中须提供完善的管道平面布置图；2、投标文件中须提供完善的通风系统图；3、投标文件中须提供完善的房间布置效果图。”但该图纸及相关说明方案并未在采购需求中予以明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以上事实有下列证据为证：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1.宜春市三民医疗器械有限公司：《投诉书》及相关材料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2.江西安和招标代理有限公司：《关于宜春学院实验室管理中心实验室通风系统公开招标采购项目投诉函的情况说明》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3.宜春学院：《关于宜春学院实验室管理中心实验室通风采购项目投诉回复》</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4.招标文件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根据《政府采购质疑和投诉办法》（财政部令第94号）第二十九条第一款第（二）项、第三十一条第一款第（二）项之规定，本机关决定：投诉事项1缺乏事实依据，投诉事项不成立；投诉事项2、投诉事项3成立，责令采购人重新开展采购活动。</w:t>
      </w:r>
    </w:p>
    <w:p>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sz w:val="28"/>
          <w:szCs w:val="28"/>
        </w:rPr>
      </w:pPr>
      <w:r>
        <w:rPr>
          <w:rFonts w:hint="eastAsia" w:ascii="仿宋_GB2312" w:hAnsi="仿宋_GB2312" w:eastAsia="仿宋_GB2312" w:cs="仿宋_GB2312"/>
          <w:sz w:val="28"/>
          <w:szCs w:val="28"/>
          <w:u w:val="none"/>
        </w:rPr>
        <w:t>如对上述处理决定不服，可在收到本决定书起60日内依法向宜春市人民政府申请行政复议或者六个月内依法向人民法院提起行政诉讼。</w:t>
      </w:r>
    </w:p>
    <w:p>
      <w:pPr>
        <w:rPr>
          <w:sz w:val="28"/>
          <w:szCs w:val="28"/>
        </w:rPr>
      </w:pPr>
    </w:p>
    <w:p>
      <w:pPr>
        <w:rPr>
          <w:sz w:val="28"/>
          <w:szCs w:val="28"/>
        </w:rPr>
      </w:pPr>
    </w:p>
    <w:p>
      <w:pPr>
        <w:widowControl/>
        <w:ind w:right="3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pPr>
        <w:widowControl/>
        <w:ind w:right="300"/>
        <w:jc w:val="right"/>
      </w:pPr>
      <w:r>
        <w:rPr>
          <w:rFonts w:hint="eastAsia" w:ascii="仿宋" w:hAnsi="仿宋" w:eastAsia="仿宋"/>
          <w:sz w:val="28"/>
          <w:szCs w:val="28"/>
          <w:lang w:val="en-US" w:eastAsia="zh-CN"/>
        </w:rPr>
        <w:t>2023</w:t>
      </w:r>
      <w:r>
        <w:rPr>
          <w:rFonts w:hint="eastAsia" w:ascii="仿宋" w:hAnsi="仿宋" w:eastAsia="仿宋"/>
          <w:sz w:val="28"/>
          <w:szCs w:val="28"/>
        </w:rPr>
        <w:t>年</w:t>
      </w:r>
      <w:r>
        <w:rPr>
          <w:rFonts w:hint="eastAsia" w:ascii="仿宋" w:hAnsi="仿宋" w:eastAsia="仿宋"/>
          <w:sz w:val="28"/>
          <w:szCs w:val="28"/>
          <w:lang w:val="en-US" w:eastAsia="zh-CN"/>
        </w:rPr>
        <w:t>6</w:t>
      </w:r>
      <w:r>
        <w:rPr>
          <w:rFonts w:hint="eastAsia" w:ascii="仿宋" w:hAnsi="仿宋" w:eastAsia="仿宋"/>
          <w:sz w:val="28"/>
          <w:szCs w:val="28"/>
        </w:rPr>
        <w:t>月</w:t>
      </w:r>
      <w:r>
        <w:rPr>
          <w:rFonts w:hint="eastAsia" w:ascii="仿宋" w:hAnsi="仿宋" w:eastAsia="仿宋"/>
          <w:sz w:val="28"/>
          <w:szCs w:val="28"/>
          <w:lang w:val="en-US" w:eastAsia="zh-CN"/>
        </w:rPr>
        <w:t>6</w:t>
      </w:r>
      <w:bookmarkStart w:id="2" w:name="_GoBack"/>
      <w:bookmarkEnd w:id="2"/>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10"/>
          <w:jc w:val="center"/>
        </w:pPr>
        <w:r>
          <w:fldChar w:fldCharType="begin"/>
        </w:r>
        <w:r>
          <w:instrText xml:space="preserve">PAGE   \* MERGEFORMAT</w:instrText>
        </w:r>
        <w:r>
          <w:fldChar w:fldCharType="separate"/>
        </w:r>
        <w:r>
          <w:rPr>
            <w:lang w:val="zh-CN"/>
          </w:rPr>
          <w:t>1</w:t>
        </w:r>
        <w:r>
          <w:fldChar w:fldCharType="end"/>
        </w:r>
      </w:p>
    </w:sdtContent>
  </w:sdt>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07D87721"/>
    <w:rsid w:val="14E652C2"/>
    <w:rsid w:val="150947D1"/>
    <w:rsid w:val="1CC84349"/>
    <w:rsid w:val="217C6D52"/>
    <w:rsid w:val="3C77286E"/>
    <w:rsid w:val="3E4E4FAF"/>
    <w:rsid w:val="494A433D"/>
    <w:rsid w:val="4DC501DE"/>
    <w:rsid w:val="55B17B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semiHidden/>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6"/>
    <w:semiHidden/>
    <w:unhideWhenUsed/>
    <w:qFormat/>
    <w:uiPriority w:val="99"/>
    <w:pPr>
      <w:jc w:val="left"/>
    </w:pPr>
  </w:style>
  <w:style w:type="paragraph" w:styleId="6">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7">
    <w:name w:val="Plain Text"/>
    <w:basedOn w:val="1"/>
    <w:link w:val="27"/>
    <w:qFormat/>
    <w:uiPriority w:val="0"/>
    <w:rPr>
      <w:rFonts w:ascii="宋体" w:hAnsi="Courier New" w:eastAsiaTheme="minorEastAsia" w:cstheme="minorBidi"/>
      <w:szCs w:val="22"/>
    </w:rPr>
  </w:style>
  <w:style w:type="paragraph" w:styleId="8">
    <w:name w:val="Date"/>
    <w:basedOn w:val="1"/>
    <w:next w:val="1"/>
    <w:link w:val="28"/>
    <w:qFormat/>
    <w:uiPriority w:val="0"/>
    <w:pPr>
      <w:adjustRightInd w:val="0"/>
      <w:spacing w:line="360" w:lineRule="atLeast"/>
      <w:textAlignment w:val="baseline"/>
    </w:pPr>
    <w:rPr>
      <w:rFonts w:ascii="宋体" w:cs="宋体"/>
      <w:kern w:val="0"/>
      <w:sz w:val="24"/>
      <w:szCs w:val="24"/>
    </w:rPr>
  </w:style>
  <w:style w:type="paragraph" w:styleId="9">
    <w:name w:val="Balloon Text"/>
    <w:basedOn w:val="1"/>
    <w:link w:val="29"/>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3">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4">
    <w:name w:val="Body Text 2"/>
    <w:basedOn w:val="1"/>
    <w:link w:val="30"/>
    <w:qFormat/>
    <w:uiPriority w:val="0"/>
    <w:pPr>
      <w:spacing w:after="120" w:line="480" w:lineRule="auto"/>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annotation subject"/>
    <w:basedOn w:val="5"/>
    <w:next w:val="5"/>
    <w:link w:val="31"/>
    <w:semiHidden/>
    <w:unhideWhenUsed/>
    <w:qFormat/>
    <w:uiPriority w:val="99"/>
    <w:rPr>
      <w:b/>
      <w:bCs/>
    </w:rPr>
  </w:style>
  <w:style w:type="table" w:styleId="18">
    <w:name w:val="Table Grid"/>
    <w:basedOn w:val="17"/>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basedOn w:val="19"/>
    <w:semiHidden/>
    <w:unhideWhenUsed/>
    <w:qFormat/>
    <w:uiPriority w:val="99"/>
    <w:rPr>
      <w:sz w:val="21"/>
      <w:szCs w:val="21"/>
    </w:rPr>
  </w:style>
  <w:style w:type="character" w:customStyle="1" w:styleId="22">
    <w:name w:val="页眉 Char"/>
    <w:basedOn w:val="19"/>
    <w:link w:val="11"/>
    <w:qFormat/>
    <w:uiPriority w:val="99"/>
    <w:rPr>
      <w:sz w:val="18"/>
      <w:szCs w:val="18"/>
    </w:rPr>
  </w:style>
  <w:style w:type="character" w:customStyle="1" w:styleId="23">
    <w:name w:val="页脚 Char"/>
    <w:basedOn w:val="19"/>
    <w:link w:val="10"/>
    <w:qFormat/>
    <w:uiPriority w:val="99"/>
    <w:rPr>
      <w:sz w:val="18"/>
      <w:szCs w:val="18"/>
    </w:rPr>
  </w:style>
  <w:style w:type="character" w:customStyle="1" w:styleId="24">
    <w:name w:val="标题 1 Char"/>
    <w:basedOn w:val="19"/>
    <w:link w:val="3"/>
    <w:qFormat/>
    <w:uiPriority w:val="9"/>
    <w:rPr>
      <w:rFonts w:ascii="Times New Roman" w:hAnsi="Times New Roman" w:eastAsia="宋体" w:cs="Times New Roman"/>
      <w:b/>
      <w:bCs/>
      <w:kern w:val="44"/>
      <w:sz w:val="44"/>
      <w:szCs w:val="44"/>
    </w:rPr>
  </w:style>
  <w:style w:type="character" w:customStyle="1" w:styleId="25">
    <w:name w:val="标题 2 Char"/>
    <w:basedOn w:val="19"/>
    <w:link w:val="4"/>
    <w:qFormat/>
    <w:uiPriority w:val="0"/>
    <w:rPr>
      <w:rFonts w:ascii="Arial" w:hAnsi="Arial" w:eastAsia="黑体" w:cs="Arial"/>
      <w:b/>
      <w:bCs/>
      <w:sz w:val="32"/>
      <w:szCs w:val="32"/>
    </w:rPr>
  </w:style>
  <w:style w:type="character" w:customStyle="1" w:styleId="26">
    <w:name w:val="批注文字 Char"/>
    <w:basedOn w:val="19"/>
    <w:link w:val="5"/>
    <w:semiHidden/>
    <w:qFormat/>
    <w:uiPriority w:val="99"/>
    <w:rPr>
      <w:rFonts w:ascii="Times New Roman" w:hAnsi="Times New Roman" w:eastAsia="宋体" w:cs="Times New Roman"/>
      <w:szCs w:val="21"/>
    </w:rPr>
  </w:style>
  <w:style w:type="character" w:customStyle="1" w:styleId="27">
    <w:name w:val="纯文本 Char"/>
    <w:basedOn w:val="19"/>
    <w:link w:val="7"/>
    <w:qFormat/>
    <w:uiPriority w:val="0"/>
    <w:rPr>
      <w:rFonts w:ascii="宋体" w:hAnsi="Courier New"/>
    </w:rPr>
  </w:style>
  <w:style w:type="character" w:customStyle="1" w:styleId="28">
    <w:name w:val="日期 Char"/>
    <w:basedOn w:val="19"/>
    <w:link w:val="8"/>
    <w:qFormat/>
    <w:uiPriority w:val="0"/>
    <w:rPr>
      <w:rFonts w:ascii="宋体" w:hAnsi="Times New Roman" w:eastAsia="宋体" w:cs="宋体"/>
      <w:kern w:val="0"/>
      <w:sz w:val="24"/>
      <w:szCs w:val="24"/>
    </w:rPr>
  </w:style>
  <w:style w:type="character" w:customStyle="1" w:styleId="29">
    <w:name w:val="批注框文本 Char"/>
    <w:basedOn w:val="19"/>
    <w:link w:val="9"/>
    <w:semiHidden/>
    <w:qFormat/>
    <w:uiPriority w:val="99"/>
    <w:rPr>
      <w:rFonts w:ascii="Times New Roman" w:hAnsi="Times New Roman" w:eastAsia="宋体" w:cs="Times New Roman"/>
      <w:sz w:val="18"/>
      <w:szCs w:val="18"/>
    </w:rPr>
  </w:style>
  <w:style w:type="character" w:customStyle="1" w:styleId="30">
    <w:name w:val="正文文本 2 Char"/>
    <w:basedOn w:val="19"/>
    <w:link w:val="14"/>
    <w:qFormat/>
    <w:uiPriority w:val="0"/>
    <w:rPr>
      <w:rFonts w:ascii="Times New Roman" w:hAnsi="Times New Roman" w:eastAsia="宋体" w:cs="Times New Roman"/>
      <w:szCs w:val="21"/>
    </w:rPr>
  </w:style>
  <w:style w:type="character" w:customStyle="1" w:styleId="31">
    <w:name w:val="批注主题 Char"/>
    <w:basedOn w:val="26"/>
    <w:link w:val="16"/>
    <w:semiHidden/>
    <w:qFormat/>
    <w:uiPriority w:val="99"/>
    <w:rPr>
      <w:rFonts w:ascii="Times New Roman" w:hAnsi="Times New Roman" w:eastAsia="宋体" w:cs="Times New Roman"/>
      <w:b/>
      <w:bCs/>
      <w:szCs w:val="21"/>
    </w:rPr>
  </w:style>
  <w:style w:type="character" w:customStyle="1" w:styleId="32">
    <w:name w:val="纯文本 字符"/>
    <w:basedOn w:val="19"/>
    <w:semiHidden/>
    <w:qFormat/>
    <w:uiPriority w:val="99"/>
    <w:rPr>
      <w:rFonts w:hAnsi="Courier New" w:cs="Courier New" w:asciiTheme="minorEastAsia"/>
      <w:szCs w:val="21"/>
    </w:rPr>
  </w:style>
  <w:style w:type="paragraph" w:styleId="33">
    <w:name w:val="List Paragraph"/>
    <w:basedOn w:val="1"/>
    <w:qFormat/>
    <w:uiPriority w:val="34"/>
    <w:pPr>
      <w:ind w:firstLine="420" w:firstLineChars="200"/>
    </w:pPr>
  </w:style>
  <w:style w:type="paragraph" w:customStyle="1" w:styleId="3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5">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6">
    <w:name w:val="TOC Heading"/>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qowt-font10-gbk"/>
    <w:basedOn w:val="1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4334</Words>
  <Characters>4543</Characters>
  <Lines>57</Lines>
  <Paragraphs>16</Paragraphs>
  <TotalTime>16</TotalTime>
  <ScaleCrop>false</ScaleCrop>
  <LinksUpToDate>false</LinksUpToDate>
  <CharactersWithSpaces>4669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cp:lastModifiedBy>
  <cp:lastPrinted>2020-03-23T07:37:00Z</cp:lastPrinted>
  <dcterms:modified xsi:type="dcterms:W3CDTF">2023-06-25T09:22:00Z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48C8F1BDDC774AC58D4365FE8E3AE485_13</vt:lpwstr>
  </property>
</Properties>
</file>