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Cs/>
          <w:sz w:val="48"/>
          <w:szCs w:val="48"/>
        </w:rPr>
      </w:pPr>
    </w:p>
    <w:p>
      <w:pPr>
        <w:jc w:val="center"/>
        <w:rPr>
          <w:rFonts w:ascii="黑体" w:hAnsi="黑体" w:eastAsia="黑体" w:cs="黑体"/>
          <w:bCs/>
          <w:color w:val="000000" w:themeColor="text1"/>
          <w:sz w:val="106"/>
          <w:szCs w:val="106"/>
          <w14:textFill>
            <w14:solidFill>
              <w14:schemeClr w14:val="tx1"/>
            </w14:solidFill>
          </w14:textFill>
        </w:rPr>
      </w:pPr>
      <w:r>
        <w:rPr>
          <w:rFonts w:hint="eastAsia" w:ascii="黑体" w:hAnsi="黑体" w:eastAsia="黑体" w:cs="黑体"/>
          <w:bCs/>
          <w:color w:val="000000" w:themeColor="text1"/>
          <w:sz w:val="106"/>
          <w:szCs w:val="106"/>
          <w14:textFill>
            <w14:solidFill>
              <w14:schemeClr w14:val="tx1"/>
            </w14:solidFill>
          </w14:textFill>
        </w:rPr>
        <w:t>政府采购</w:t>
      </w:r>
    </w:p>
    <w:p>
      <w:pPr>
        <w:jc w:val="center"/>
        <w:rPr>
          <w:rFonts w:ascii="黑体" w:hAnsi="黑体" w:eastAsia="黑体" w:cs="黑体"/>
          <w:bCs/>
          <w:color w:val="000000" w:themeColor="text1"/>
          <w:sz w:val="106"/>
          <w:szCs w:val="106"/>
          <w14:textFill>
            <w14:solidFill>
              <w14:schemeClr w14:val="tx1"/>
            </w14:solidFill>
          </w14:textFill>
        </w:rPr>
      </w:pPr>
      <w:r>
        <w:rPr>
          <w:rFonts w:hint="eastAsia" w:ascii="黑体" w:hAnsi="黑体" w:eastAsia="黑体" w:cs="黑体"/>
          <w:bCs/>
          <w:color w:val="000000" w:themeColor="text1"/>
          <w:sz w:val="106"/>
          <w:szCs w:val="106"/>
          <w14:textFill>
            <w14:solidFill>
              <w14:schemeClr w14:val="tx1"/>
            </w14:solidFill>
          </w14:textFill>
        </w:rPr>
        <w:t>公开招标文件</w:t>
      </w:r>
    </w:p>
    <w:p>
      <w:pPr>
        <w:jc w:val="center"/>
        <w:rPr>
          <w:rFonts w:ascii="黑体" w:hAnsi="黑体" w:eastAsia="黑体" w:cs="黑体"/>
          <w:color w:val="000000" w:themeColor="text1"/>
          <w:sz w:val="44"/>
          <w:szCs w:val="44"/>
          <w:u w:val="single"/>
          <w14:textFill>
            <w14:solidFill>
              <w14:schemeClr w14:val="tx1"/>
            </w14:solidFill>
          </w14:textFill>
        </w:rPr>
      </w:pPr>
    </w:p>
    <w:p>
      <w:pPr>
        <w:jc w:val="center"/>
        <w:rPr>
          <w:rFonts w:ascii="黑体" w:hAnsi="黑体" w:eastAsia="黑体" w:cs="黑体"/>
          <w:color w:val="000000" w:themeColor="text1"/>
          <w:sz w:val="44"/>
          <w:szCs w:val="44"/>
          <w:u w:val="single"/>
          <w14:textFill>
            <w14:solidFill>
              <w14:schemeClr w14:val="tx1"/>
            </w14:solidFill>
          </w14:textFill>
        </w:rPr>
      </w:pPr>
      <w:r>
        <w:rPr>
          <w:rFonts w:hint="eastAsia" w:ascii="黑体" w:hAnsi="黑体" w:eastAsia="黑体" w:cs="黑体"/>
          <w:color w:val="000000" w:themeColor="text1"/>
          <w:sz w:val="44"/>
          <w:szCs w:val="44"/>
          <w:u w:val="single"/>
          <w14:textFill>
            <w14:solidFill>
              <w14:schemeClr w14:val="tx1"/>
            </w14:solidFill>
          </w14:textFill>
        </w:rPr>
        <w:drawing>
          <wp:anchor distT="0" distB="0" distL="114300" distR="114300" simplePos="0" relativeHeight="251663360" behindDoc="1" locked="0" layoutInCell="1" allowOverlap="1">
            <wp:simplePos x="0" y="0"/>
            <wp:positionH relativeFrom="column">
              <wp:posOffset>2425065</wp:posOffset>
            </wp:positionH>
            <wp:positionV relativeFrom="paragraph">
              <wp:posOffset>294005</wp:posOffset>
            </wp:positionV>
            <wp:extent cx="1137920" cy="1137920"/>
            <wp:effectExtent l="19050" t="0" r="5080" b="0"/>
            <wp:wrapNone/>
            <wp:docPr id="3" name="图片 3" descr="微信图片_2019052307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523075603"/>
                    <pic:cNvPicPr>
                      <a:picLocks noChangeAspect="1" noChangeArrowheads="1"/>
                    </pic:cNvPicPr>
                  </pic:nvPicPr>
                  <pic:blipFill>
                    <a:blip r:embed="rId13" cstate="print"/>
                    <a:srcRect/>
                    <a:stretch>
                      <a:fillRect/>
                    </a:stretch>
                  </pic:blipFill>
                  <pic:spPr>
                    <a:xfrm>
                      <a:off x="0" y="0"/>
                      <a:ext cx="1137920" cy="1137920"/>
                    </a:xfrm>
                    <a:prstGeom prst="rect">
                      <a:avLst/>
                    </a:prstGeom>
                    <a:noFill/>
                    <a:ln w="9525">
                      <a:noFill/>
                      <a:miter lim="800000"/>
                      <a:headEnd/>
                      <a:tailEnd/>
                    </a:ln>
                  </pic:spPr>
                </pic:pic>
              </a:graphicData>
            </a:graphic>
          </wp:anchor>
        </w:drawing>
      </w:r>
    </w:p>
    <w:p>
      <w:pPr>
        <w:pStyle w:val="3"/>
        <w:jc w:val="center"/>
        <w:rPr>
          <w:rFonts w:ascii="黑体" w:hAnsi="黑体" w:eastAsia="黑体" w:cs="黑体"/>
          <w:color w:val="000000" w:themeColor="text1"/>
          <w:sz w:val="44"/>
          <w:szCs w:val="44"/>
          <w:u w:val="single"/>
          <w14:textFill>
            <w14:solidFill>
              <w14:schemeClr w14:val="tx1"/>
            </w14:solidFill>
          </w14:textFill>
        </w:rPr>
      </w:pPr>
    </w:p>
    <w:p>
      <w:pPr>
        <w:pStyle w:val="3"/>
        <w:rPr>
          <w:rFonts w:ascii="黑体" w:hAnsi="黑体" w:eastAsia="黑体" w:cs="黑体"/>
          <w:color w:val="000000" w:themeColor="text1"/>
          <w:sz w:val="44"/>
          <w:szCs w:val="44"/>
          <w:u w:val="single"/>
          <w14:textFill>
            <w14:solidFill>
              <w14:schemeClr w14:val="tx1"/>
            </w14:solidFill>
          </w14:textFill>
        </w:rPr>
      </w:pPr>
    </w:p>
    <w:p>
      <w:pPr>
        <w:pStyle w:val="5"/>
        <w:rPr>
          <w:rFonts w:ascii="黑体" w:hAnsi="黑体" w:eastAsia="黑体" w:cs="黑体"/>
          <w:color w:val="000000" w:themeColor="text1"/>
          <w14:textFill>
            <w14:solidFill>
              <w14:schemeClr w14:val="tx1"/>
            </w14:solidFill>
          </w14:textFill>
        </w:rPr>
      </w:pPr>
    </w:p>
    <w:p>
      <w:pPr>
        <w:jc w:val="center"/>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项目名称：吉安市吉州区金樟职业教育园建设项目（一期）第三方工程质量检测服务项目</w:t>
      </w:r>
    </w:p>
    <w:p>
      <w:pPr>
        <w:jc w:val="center"/>
        <w:rPr>
          <w:rFonts w:ascii="黑体" w:hAnsi="黑体" w:eastAsia="黑体" w:cs="黑体"/>
          <w:bCs/>
          <w:color w:val="000000" w:themeColor="text1"/>
          <w:sz w:val="32"/>
          <w:szCs w:val="32"/>
          <w14:textFill>
            <w14:solidFill>
              <w14:schemeClr w14:val="tx1"/>
            </w14:solidFill>
          </w14:textFill>
        </w:rPr>
      </w:pPr>
    </w:p>
    <w:p>
      <w:pPr>
        <w:jc w:val="center"/>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项目编号：【ABXZBZC202301075】</w:t>
      </w:r>
    </w:p>
    <w:p>
      <w:pPr>
        <w:jc w:val="center"/>
        <w:rPr>
          <w:rFonts w:ascii="黑体" w:hAnsi="黑体" w:eastAsia="黑体" w:cs="黑体"/>
          <w:bCs/>
          <w:color w:val="000000" w:themeColor="text1"/>
          <w:sz w:val="32"/>
          <w:szCs w:val="32"/>
          <w14:textFill>
            <w14:solidFill>
              <w14:schemeClr w14:val="tx1"/>
            </w14:solidFill>
          </w14:textFill>
        </w:rPr>
      </w:pPr>
    </w:p>
    <w:p>
      <w:pPr>
        <w:pStyle w:val="3"/>
        <w:rPr>
          <w:rFonts w:ascii="黑体" w:hAnsi="黑体" w:eastAsia="黑体" w:cs="黑体"/>
          <w:color w:val="000000" w:themeColor="text1"/>
          <w14:textFill>
            <w14:solidFill>
              <w14:schemeClr w14:val="tx1"/>
            </w14:solidFill>
          </w14:textFill>
        </w:rPr>
      </w:pPr>
    </w:p>
    <w:p>
      <w:pPr>
        <w:spacing w:line="600" w:lineRule="auto"/>
        <w:ind w:left="848" w:leftChars="400"/>
        <w:rPr>
          <w:rFonts w:ascii="黑体" w:hAnsi="黑体" w:eastAsia="黑体" w:cs="黑体"/>
          <w:color w:val="000000" w:themeColor="text1"/>
          <w:kern w:val="0"/>
          <w:sz w:val="30"/>
          <w:szCs w:val="30"/>
          <w:u w:val="single"/>
          <w14:textFill>
            <w14:solidFill>
              <w14:schemeClr w14:val="tx1"/>
            </w14:solidFill>
          </w14:textFill>
        </w:rPr>
      </w:pPr>
      <w:r>
        <w:rPr>
          <w:rFonts w:hint="eastAsia" w:ascii="黑体" w:hAnsi="黑体" w:eastAsia="黑体" w:cs="黑体"/>
          <w:color w:val="000000" w:themeColor="text1"/>
          <w:kern w:val="0"/>
          <w:sz w:val="30"/>
          <w:szCs w:val="30"/>
          <w14:textFill>
            <w14:solidFill>
              <w14:schemeClr w14:val="tx1"/>
            </w14:solidFill>
          </w14:textFill>
        </w:rPr>
        <w:t xml:space="preserve">  采购单位名称：</w:t>
      </w:r>
      <w:r>
        <w:rPr>
          <w:rFonts w:hint="eastAsia" w:ascii="黑体" w:hAnsi="黑体" w:eastAsia="黑体" w:cs="黑体"/>
          <w:color w:val="000000" w:themeColor="text1"/>
          <w:kern w:val="0"/>
          <w:sz w:val="30"/>
          <w:szCs w:val="30"/>
          <w:u w:val="single"/>
          <w14:textFill>
            <w14:solidFill>
              <w14:schemeClr w14:val="tx1"/>
            </w14:solidFill>
          </w14:textFill>
        </w:rPr>
        <w:t xml:space="preserve">    吉安市吉州区教育体育局   </w:t>
      </w:r>
    </w:p>
    <w:p>
      <w:pPr>
        <w:spacing w:line="600" w:lineRule="auto"/>
        <w:ind w:left="848" w:leftChars="400"/>
        <w:rPr>
          <w:rFonts w:ascii="黑体" w:hAnsi="黑体" w:eastAsia="黑体" w:cs="黑体"/>
          <w:color w:val="000000" w:themeColor="text1"/>
          <w:sz w:val="30"/>
          <w:szCs w:val="30"/>
          <w:u w:val="single"/>
          <w14:textFill>
            <w14:solidFill>
              <w14:schemeClr w14:val="tx1"/>
            </w14:solidFill>
          </w14:textFill>
        </w:rPr>
      </w:pPr>
      <w:r>
        <w:rPr>
          <w:rFonts w:hint="eastAsia" w:ascii="黑体" w:hAnsi="黑体" w:eastAsia="黑体" w:cs="黑体"/>
          <w:color w:val="000000" w:themeColor="text1"/>
          <w:kern w:val="0"/>
          <w:sz w:val="30"/>
          <w:szCs w:val="30"/>
          <w14:textFill>
            <w14:solidFill>
              <w14:schemeClr w14:val="tx1"/>
            </w14:solidFill>
          </w14:textFill>
        </w:rPr>
        <w:t xml:space="preserve">  采购代理机构：</w:t>
      </w:r>
      <w:r>
        <w:rPr>
          <w:rFonts w:hint="eastAsia" w:ascii="黑体" w:hAnsi="黑体" w:eastAsia="黑体" w:cs="黑体"/>
          <w:color w:val="000000" w:themeColor="text1"/>
          <w:kern w:val="0"/>
          <w:sz w:val="30"/>
          <w:szCs w:val="30"/>
          <w:u w:val="single"/>
          <w14:textFill>
            <w14:solidFill>
              <w14:schemeClr w14:val="tx1"/>
            </w14:solidFill>
          </w14:textFill>
        </w:rPr>
        <w:t xml:space="preserve">  </w:t>
      </w:r>
      <w:r>
        <w:rPr>
          <w:rFonts w:hint="eastAsia" w:ascii="黑体" w:hAnsi="黑体" w:eastAsia="黑体" w:cs="黑体"/>
          <w:color w:val="000000" w:themeColor="text1"/>
          <w:sz w:val="30"/>
          <w:szCs w:val="30"/>
          <w:u w:val="single"/>
          <w14:textFill>
            <w14:solidFill>
              <w14:schemeClr w14:val="tx1"/>
            </w14:solidFill>
          </w14:textFill>
        </w:rPr>
        <w:t xml:space="preserve">江西安必信招标咨询有限公司 </w:t>
      </w:r>
    </w:p>
    <w:p>
      <w:pPr>
        <w:spacing w:line="600" w:lineRule="auto"/>
        <w:ind w:left="848" w:leftChars="400"/>
        <w:rPr>
          <w:rFonts w:ascii="黑体" w:hAnsi="黑体" w:eastAsia="黑体" w:cs="黑体"/>
          <w:color w:val="000000" w:themeColor="text1"/>
          <w14:textFill>
            <w14:solidFill>
              <w14:schemeClr w14:val="tx1"/>
            </w14:solidFill>
          </w14:textFill>
        </w:rPr>
        <w:sectPr>
          <w:headerReference r:id="rId5" w:type="first"/>
          <w:footerReference r:id="rId7" w:type="first"/>
          <w:headerReference r:id="rId3" w:type="default"/>
          <w:headerReference r:id="rId4" w:type="even"/>
          <w:footerReference r:id="rId6" w:type="even"/>
          <w:pgSz w:w="11906" w:h="16838"/>
          <w:pgMar w:top="1417" w:right="1417" w:bottom="1417" w:left="1417" w:header="851" w:footer="992" w:gutter="113"/>
          <w:cols w:space="720" w:num="1"/>
          <w:titlePg/>
          <w:docGrid w:type="linesAndChars" w:linePitch="326" w:charSpace="614"/>
        </w:sectPr>
      </w:pPr>
      <w:r>
        <w:rPr>
          <w:rFonts w:hint="eastAsia" w:ascii="黑体" w:hAnsi="黑体" w:eastAsia="黑体" w:cs="黑体"/>
          <w:color w:val="000000" w:themeColor="text1"/>
          <w:kern w:val="0"/>
          <w:sz w:val="30"/>
          <w:szCs w:val="30"/>
          <w14:textFill>
            <w14:solidFill>
              <w14:schemeClr w14:val="tx1"/>
            </w14:solidFill>
          </w14:textFill>
        </w:rPr>
        <w:t xml:space="preserve">  </w:t>
      </w:r>
      <w:r>
        <w:rPr>
          <w:rFonts w:hint="eastAsia" w:ascii="黑体" w:hAnsi="黑体" w:eastAsia="黑体" w:cs="黑体"/>
          <w:color w:val="000000" w:themeColor="text1"/>
          <w:kern w:val="0"/>
          <w:sz w:val="28"/>
          <w:szCs w:val="28"/>
          <w14:textFill>
            <w14:solidFill>
              <w14:schemeClr w14:val="tx1"/>
            </w14:solidFill>
          </w14:textFill>
        </w:rPr>
        <w:t>文件编制时间：</w:t>
      </w:r>
      <w:r>
        <w:rPr>
          <w:rFonts w:hint="eastAsia" w:ascii="黑体" w:hAnsi="黑体" w:eastAsia="黑体" w:cs="黑体"/>
          <w:color w:val="000000" w:themeColor="text1"/>
          <w:sz w:val="28"/>
          <w:szCs w:val="28"/>
          <w:u w:val="single"/>
          <w14:textFill>
            <w14:solidFill>
              <w14:schemeClr w14:val="tx1"/>
            </w14:solidFill>
          </w14:textFill>
        </w:rPr>
        <w:t xml:space="preserve">        二O二三年七月          </w:t>
      </w:r>
    </w:p>
    <w:p>
      <w:pPr>
        <w:snapToGrid w:val="0"/>
        <w:spacing w:line="312" w:lineRule="auto"/>
        <w:jc w:val="center"/>
        <w:rPr>
          <w:rFonts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目 录</w:t>
      </w:r>
    </w:p>
    <w:p>
      <w:pPr>
        <w:pStyle w:val="18"/>
        <w:tabs>
          <w:tab w:val="right" w:leader="dot" w:pos="8959"/>
        </w:tabs>
        <w:rPr>
          <w:rFonts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fldChar w:fldCharType="begin"/>
      </w:r>
      <w:r>
        <w:rPr>
          <w:rFonts w:hint="eastAsia" w:ascii="宋体" w:hAnsi="宋体" w:eastAsia="宋体" w:cs="宋体"/>
          <w:b w:val="0"/>
          <w:bCs/>
          <w:color w:val="000000" w:themeColor="text1"/>
          <w:sz w:val="24"/>
          <w:szCs w:val="24"/>
          <w14:textFill>
            <w14:solidFill>
              <w14:schemeClr w14:val="tx1"/>
            </w14:solidFill>
          </w14:textFill>
        </w:rPr>
        <w:instrText xml:space="preserve">TOC \o "1-1" \h \u </w:instrText>
      </w:r>
      <w:r>
        <w:rPr>
          <w:rFonts w:hint="eastAsia" w:ascii="宋体" w:hAnsi="宋体" w:eastAsia="宋体" w:cs="宋体"/>
          <w:b w:val="0"/>
          <w:bCs/>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"_Toc21395" </w:instrText>
      </w:r>
      <w:r>
        <w:rPr>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第一章 招标公告</w:t>
      </w:r>
      <w:r>
        <w:rPr>
          <w:rFonts w:hint="eastAsia" w:ascii="宋体" w:hAnsi="宋体" w:eastAsia="宋体" w:cs="宋体"/>
          <w:b w:val="0"/>
          <w:bCs/>
          <w:color w:val="000000" w:themeColor="text1"/>
          <w14:textFill>
            <w14:solidFill>
              <w14:schemeClr w14:val="tx1"/>
            </w14:solidFill>
          </w14:textFill>
        </w:rPr>
        <w:tab/>
      </w:r>
      <w:r>
        <w:rPr>
          <w:rFonts w:hint="eastAsia" w:ascii="宋体" w:hAnsi="宋体" w:eastAsia="宋体" w:cs="宋体"/>
          <w:b w:val="0"/>
          <w:bCs/>
          <w:color w:val="000000" w:themeColor="text1"/>
          <w14:textFill>
            <w14:solidFill>
              <w14:schemeClr w14:val="tx1"/>
            </w14:solidFill>
          </w14:textFill>
        </w:rPr>
        <w:fldChar w:fldCharType="begin"/>
      </w:r>
      <w:r>
        <w:rPr>
          <w:rFonts w:hint="eastAsia" w:ascii="宋体" w:hAnsi="宋体" w:eastAsia="宋体" w:cs="宋体"/>
          <w:b w:val="0"/>
          <w:bCs/>
          <w:color w:val="000000" w:themeColor="text1"/>
          <w14:textFill>
            <w14:solidFill>
              <w14:schemeClr w14:val="tx1"/>
            </w14:solidFill>
          </w14:textFill>
        </w:rPr>
        <w:instrText xml:space="preserve"> PAGEREF _Toc21395 \h </w:instrText>
      </w:r>
      <w:r>
        <w:rPr>
          <w:rFonts w:hint="eastAsia" w:ascii="宋体" w:hAnsi="宋体" w:eastAsia="宋体" w:cs="宋体"/>
          <w:b w:val="0"/>
          <w:bCs/>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3</w:t>
      </w:r>
      <w:r>
        <w:rPr>
          <w:rFonts w:hint="eastAsia" w:ascii="宋体" w:hAnsi="宋体" w:eastAsia="宋体" w:cs="宋体"/>
          <w:b w:val="0"/>
          <w:bCs/>
          <w:color w:val="000000" w:themeColor="text1"/>
          <w14:textFill>
            <w14:solidFill>
              <w14:schemeClr w14:val="tx1"/>
            </w14:solidFill>
          </w14:textFill>
        </w:rPr>
        <w:fldChar w:fldCharType="end"/>
      </w:r>
      <w:r>
        <w:rPr>
          <w:rFonts w:hint="eastAsia" w:ascii="宋体" w:hAnsi="宋体" w:eastAsia="宋体" w:cs="宋体"/>
          <w:b w:val="0"/>
          <w:bCs/>
          <w:color w:val="000000" w:themeColor="text1"/>
          <w14:textFill>
            <w14:solidFill>
              <w14:schemeClr w14:val="tx1"/>
            </w14:solidFill>
          </w14:textFill>
        </w:rPr>
        <w:fldChar w:fldCharType="end"/>
      </w:r>
    </w:p>
    <w:p>
      <w:pPr>
        <w:pStyle w:val="18"/>
        <w:tabs>
          <w:tab w:val="right" w:leader="dot" w:pos="8959"/>
        </w:tabs>
        <w:rPr>
          <w:rFonts w:ascii="宋体" w:hAnsi="宋体" w:eastAsia="宋体" w:cs="宋体"/>
          <w:b w:val="0"/>
          <w:bCs/>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"_Toc17981" </w:instrText>
      </w:r>
      <w:r>
        <w:rPr>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第二章 招标文件前附表</w:t>
      </w:r>
      <w:r>
        <w:rPr>
          <w:rFonts w:hint="eastAsia" w:ascii="宋体" w:hAnsi="宋体" w:eastAsia="宋体" w:cs="宋体"/>
          <w:b w:val="0"/>
          <w:bCs/>
          <w:color w:val="000000" w:themeColor="text1"/>
          <w14:textFill>
            <w14:solidFill>
              <w14:schemeClr w14:val="tx1"/>
            </w14:solidFill>
          </w14:textFill>
        </w:rPr>
        <w:tab/>
      </w:r>
      <w:r>
        <w:rPr>
          <w:rFonts w:hint="eastAsia" w:ascii="宋体" w:hAnsi="宋体" w:eastAsia="宋体" w:cs="宋体"/>
          <w:b w:val="0"/>
          <w:bCs/>
          <w:color w:val="000000" w:themeColor="text1"/>
          <w14:textFill>
            <w14:solidFill>
              <w14:schemeClr w14:val="tx1"/>
            </w14:solidFill>
          </w14:textFill>
        </w:rPr>
        <w:fldChar w:fldCharType="begin"/>
      </w:r>
      <w:r>
        <w:rPr>
          <w:rFonts w:hint="eastAsia" w:ascii="宋体" w:hAnsi="宋体" w:eastAsia="宋体" w:cs="宋体"/>
          <w:b w:val="0"/>
          <w:bCs/>
          <w:color w:val="000000" w:themeColor="text1"/>
          <w14:textFill>
            <w14:solidFill>
              <w14:schemeClr w14:val="tx1"/>
            </w14:solidFill>
          </w14:textFill>
        </w:rPr>
        <w:instrText xml:space="preserve"> PAGEREF _Toc17981 \h </w:instrText>
      </w:r>
      <w:r>
        <w:rPr>
          <w:rFonts w:hint="eastAsia" w:ascii="宋体" w:hAnsi="宋体" w:eastAsia="宋体" w:cs="宋体"/>
          <w:b w:val="0"/>
          <w:bCs/>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7</w:t>
      </w:r>
      <w:r>
        <w:rPr>
          <w:rFonts w:hint="eastAsia" w:ascii="宋体" w:hAnsi="宋体" w:eastAsia="宋体" w:cs="宋体"/>
          <w:b w:val="0"/>
          <w:bCs/>
          <w:color w:val="000000" w:themeColor="text1"/>
          <w14:textFill>
            <w14:solidFill>
              <w14:schemeClr w14:val="tx1"/>
            </w14:solidFill>
          </w14:textFill>
        </w:rPr>
        <w:fldChar w:fldCharType="end"/>
      </w:r>
      <w:r>
        <w:rPr>
          <w:rFonts w:hint="eastAsia" w:ascii="宋体" w:hAnsi="宋体" w:eastAsia="宋体" w:cs="宋体"/>
          <w:b w:val="0"/>
          <w:bCs/>
          <w:color w:val="000000" w:themeColor="text1"/>
          <w14:textFill>
            <w14:solidFill>
              <w14:schemeClr w14:val="tx1"/>
            </w14:solidFill>
          </w14:textFill>
        </w:rPr>
        <w:fldChar w:fldCharType="end"/>
      </w:r>
    </w:p>
    <w:p>
      <w:pPr>
        <w:pStyle w:val="18"/>
        <w:tabs>
          <w:tab w:val="right" w:leader="dot" w:pos="8959"/>
        </w:tabs>
        <w:rPr>
          <w:rFonts w:ascii="宋体" w:hAnsi="宋体" w:eastAsia="宋体" w:cs="宋体"/>
          <w:b w:val="0"/>
          <w:bCs/>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"_Toc17461" </w:instrText>
      </w:r>
      <w:r>
        <w:rPr>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第三章 投标人须知</w:t>
      </w:r>
      <w:r>
        <w:rPr>
          <w:rFonts w:hint="eastAsia" w:ascii="宋体" w:hAnsi="宋体" w:eastAsia="宋体" w:cs="宋体"/>
          <w:b w:val="0"/>
          <w:bCs/>
          <w:color w:val="000000" w:themeColor="text1"/>
          <w14:textFill>
            <w14:solidFill>
              <w14:schemeClr w14:val="tx1"/>
            </w14:solidFill>
          </w14:textFill>
        </w:rPr>
        <w:tab/>
      </w:r>
      <w:r>
        <w:rPr>
          <w:rFonts w:hint="eastAsia" w:ascii="宋体" w:hAnsi="宋体" w:eastAsia="宋体" w:cs="宋体"/>
          <w:b w:val="0"/>
          <w:bCs/>
          <w:color w:val="000000" w:themeColor="text1"/>
          <w14:textFill>
            <w14:solidFill>
              <w14:schemeClr w14:val="tx1"/>
            </w14:solidFill>
          </w14:textFill>
        </w:rPr>
        <w:fldChar w:fldCharType="begin"/>
      </w:r>
      <w:r>
        <w:rPr>
          <w:rFonts w:hint="eastAsia" w:ascii="宋体" w:hAnsi="宋体" w:eastAsia="宋体" w:cs="宋体"/>
          <w:b w:val="0"/>
          <w:bCs/>
          <w:color w:val="000000" w:themeColor="text1"/>
          <w14:textFill>
            <w14:solidFill>
              <w14:schemeClr w14:val="tx1"/>
            </w14:solidFill>
          </w14:textFill>
        </w:rPr>
        <w:instrText xml:space="preserve"> PAGEREF _Toc17461 \h </w:instrText>
      </w:r>
      <w:r>
        <w:rPr>
          <w:rFonts w:hint="eastAsia" w:ascii="宋体" w:hAnsi="宋体" w:eastAsia="宋体" w:cs="宋体"/>
          <w:b w:val="0"/>
          <w:bCs/>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9</w:t>
      </w:r>
      <w:r>
        <w:rPr>
          <w:rFonts w:hint="eastAsia" w:ascii="宋体" w:hAnsi="宋体" w:eastAsia="宋体" w:cs="宋体"/>
          <w:b w:val="0"/>
          <w:bCs/>
          <w:color w:val="000000" w:themeColor="text1"/>
          <w14:textFill>
            <w14:solidFill>
              <w14:schemeClr w14:val="tx1"/>
            </w14:solidFill>
          </w14:textFill>
        </w:rPr>
        <w:fldChar w:fldCharType="end"/>
      </w:r>
      <w:r>
        <w:rPr>
          <w:rFonts w:hint="eastAsia" w:ascii="宋体" w:hAnsi="宋体" w:eastAsia="宋体" w:cs="宋体"/>
          <w:b w:val="0"/>
          <w:bCs/>
          <w:color w:val="000000" w:themeColor="text1"/>
          <w14:textFill>
            <w14:solidFill>
              <w14:schemeClr w14:val="tx1"/>
            </w14:solidFill>
          </w14:textFill>
        </w:rPr>
        <w:fldChar w:fldCharType="end"/>
      </w:r>
    </w:p>
    <w:p>
      <w:pPr>
        <w:pStyle w:val="18"/>
        <w:tabs>
          <w:tab w:val="right" w:leader="dot" w:pos="8959"/>
        </w:tabs>
        <w:rPr>
          <w:rFonts w:ascii="宋体" w:hAnsi="宋体" w:eastAsia="宋体" w:cs="宋体"/>
          <w:b w:val="0"/>
          <w:bCs/>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"_Toc18331" </w:instrText>
      </w:r>
      <w:r>
        <w:rPr>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第四章 评标方法及标准(综合评分法适用)</w:t>
      </w:r>
      <w:r>
        <w:rPr>
          <w:rFonts w:hint="eastAsia" w:ascii="宋体" w:hAnsi="宋体" w:eastAsia="宋体" w:cs="宋体"/>
          <w:b w:val="0"/>
          <w:bCs/>
          <w:color w:val="000000" w:themeColor="text1"/>
          <w14:textFill>
            <w14:solidFill>
              <w14:schemeClr w14:val="tx1"/>
            </w14:solidFill>
          </w14:textFill>
        </w:rPr>
        <w:tab/>
      </w:r>
      <w:r>
        <w:rPr>
          <w:rFonts w:hint="eastAsia" w:ascii="宋体" w:hAnsi="宋体" w:eastAsia="宋体" w:cs="宋体"/>
          <w:b w:val="0"/>
          <w:bCs/>
          <w:color w:val="000000" w:themeColor="text1"/>
          <w14:textFill>
            <w14:solidFill>
              <w14:schemeClr w14:val="tx1"/>
            </w14:solidFill>
          </w14:textFill>
        </w:rPr>
        <w:fldChar w:fldCharType="begin"/>
      </w:r>
      <w:r>
        <w:rPr>
          <w:rFonts w:hint="eastAsia" w:ascii="宋体" w:hAnsi="宋体" w:eastAsia="宋体" w:cs="宋体"/>
          <w:b w:val="0"/>
          <w:bCs/>
          <w:color w:val="000000" w:themeColor="text1"/>
          <w14:textFill>
            <w14:solidFill>
              <w14:schemeClr w14:val="tx1"/>
            </w14:solidFill>
          </w14:textFill>
        </w:rPr>
        <w:instrText xml:space="preserve"> PAGEREF _Toc18331 \h </w:instrText>
      </w:r>
      <w:r>
        <w:rPr>
          <w:rFonts w:hint="eastAsia" w:ascii="宋体" w:hAnsi="宋体" w:eastAsia="宋体" w:cs="宋体"/>
          <w:b w:val="0"/>
          <w:bCs/>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19</w:t>
      </w:r>
      <w:r>
        <w:rPr>
          <w:rFonts w:hint="eastAsia" w:ascii="宋体" w:hAnsi="宋体" w:eastAsia="宋体" w:cs="宋体"/>
          <w:b w:val="0"/>
          <w:bCs/>
          <w:color w:val="000000" w:themeColor="text1"/>
          <w14:textFill>
            <w14:solidFill>
              <w14:schemeClr w14:val="tx1"/>
            </w14:solidFill>
          </w14:textFill>
        </w:rPr>
        <w:fldChar w:fldCharType="end"/>
      </w:r>
      <w:r>
        <w:rPr>
          <w:rFonts w:hint="eastAsia" w:ascii="宋体" w:hAnsi="宋体" w:eastAsia="宋体" w:cs="宋体"/>
          <w:b w:val="0"/>
          <w:bCs/>
          <w:color w:val="000000" w:themeColor="text1"/>
          <w14:textFill>
            <w14:solidFill>
              <w14:schemeClr w14:val="tx1"/>
            </w14:solidFill>
          </w14:textFill>
        </w:rPr>
        <w:fldChar w:fldCharType="end"/>
      </w:r>
    </w:p>
    <w:p>
      <w:pPr>
        <w:pStyle w:val="18"/>
        <w:tabs>
          <w:tab w:val="right" w:leader="dot" w:pos="8959"/>
        </w:tabs>
        <w:rPr>
          <w:rFonts w:ascii="宋体" w:hAnsi="宋体" w:eastAsia="宋体" w:cs="宋体"/>
          <w:b w:val="0"/>
          <w:bCs/>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"_Toc2030" </w:instrText>
      </w:r>
      <w:r>
        <w:rPr>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第五章 合同条款及格式参考</w:t>
      </w:r>
      <w:r>
        <w:rPr>
          <w:rFonts w:hint="eastAsia" w:ascii="宋体" w:hAnsi="宋体" w:eastAsia="宋体" w:cs="宋体"/>
          <w:b w:val="0"/>
          <w:bCs/>
          <w:color w:val="000000" w:themeColor="text1"/>
          <w14:textFill>
            <w14:solidFill>
              <w14:schemeClr w14:val="tx1"/>
            </w14:solidFill>
          </w14:textFill>
        </w:rPr>
        <w:tab/>
      </w:r>
      <w:r>
        <w:rPr>
          <w:rFonts w:hint="eastAsia" w:ascii="宋体" w:hAnsi="宋体" w:eastAsia="宋体" w:cs="宋体"/>
          <w:b w:val="0"/>
          <w:bCs/>
          <w:color w:val="000000" w:themeColor="text1"/>
          <w14:textFill>
            <w14:solidFill>
              <w14:schemeClr w14:val="tx1"/>
            </w14:solidFill>
          </w14:textFill>
        </w:rPr>
        <w:fldChar w:fldCharType="begin"/>
      </w:r>
      <w:r>
        <w:rPr>
          <w:rFonts w:hint="eastAsia" w:ascii="宋体" w:hAnsi="宋体" w:eastAsia="宋体" w:cs="宋体"/>
          <w:b w:val="0"/>
          <w:bCs/>
          <w:color w:val="000000" w:themeColor="text1"/>
          <w14:textFill>
            <w14:solidFill>
              <w14:schemeClr w14:val="tx1"/>
            </w14:solidFill>
          </w14:textFill>
        </w:rPr>
        <w:instrText xml:space="preserve"> PAGEREF _Toc2030 \h </w:instrText>
      </w:r>
      <w:r>
        <w:rPr>
          <w:rFonts w:hint="eastAsia" w:ascii="宋体" w:hAnsi="宋体" w:eastAsia="宋体" w:cs="宋体"/>
          <w:b w:val="0"/>
          <w:bCs/>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22</w:t>
      </w:r>
      <w:r>
        <w:rPr>
          <w:rFonts w:hint="eastAsia" w:ascii="宋体" w:hAnsi="宋体" w:eastAsia="宋体" w:cs="宋体"/>
          <w:b w:val="0"/>
          <w:bCs/>
          <w:color w:val="000000" w:themeColor="text1"/>
          <w14:textFill>
            <w14:solidFill>
              <w14:schemeClr w14:val="tx1"/>
            </w14:solidFill>
          </w14:textFill>
        </w:rPr>
        <w:fldChar w:fldCharType="end"/>
      </w:r>
      <w:r>
        <w:rPr>
          <w:rFonts w:hint="eastAsia" w:ascii="宋体" w:hAnsi="宋体" w:eastAsia="宋体" w:cs="宋体"/>
          <w:b w:val="0"/>
          <w:bCs/>
          <w:color w:val="000000" w:themeColor="text1"/>
          <w14:textFill>
            <w14:solidFill>
              <w14:schemeClr w14:val="tx1"/>
            </w14:solidFill>
          </w14:textFill>
        </w:rPr>
        <w:fldChar w:fldCharType="end"/>
      </w:r>
    </w:p>
    <w:p>
      <w:pPr>
        <w:pStyle w:val="18"/>
        <w:tabs>
          <w:tab w:val="right" w:leader="dot" w:pos="8959"/>
        </w:tabs>
        <w:rPr>
          <w:rFonts w:ascii="宋体" w:hAnsi="宋体" w:eastAsia="宋体" w:cs="宋体"/>
          <w:b w:val="0"/>
          <w:bCs/>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"_Toc24592" </w:instrText>
      </w:r>
      <w:r>
        <w:rPr>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第六章 投标文件的组成</w:t>
      </w:r>
      <w:r>
        <w:rPr>
          <w:rFonts w:hint="eastAsia" w:ascii="宋体" w:hAnsi="宋体" w:eastAsia="宋体" w:cs="宋体"/>
          <w:b w:val="0"/>
          <w:bCs/>
          <w:color w:val="000000" w:themeColor="text1"/>
          <w14:textFill>
            <w14:solidFill>
              <w14:schemeClr w14:val="tx1"/>
            </w14:solidFill>
          </w14:textFill>
        </w:rPr>
        <w:tab/>
      </w:r>
      <w:r>
        <w:rPr>
          <w:rFonts w:hint="eastAsia" w:ascii="宋体" w:hAnsi="宋体" w:eastAsia="宋体" w:cs="宋体"/>
          <w:b w:val="0"/>
          <w:bCs/>
          <w:color w:val="000000" w:themeColor="text1"/>
          <w14:textFill>
            <w14:solidFill>
              <w14:schemeClr w14:val="tx1"/>
            </w14:solidFill>
          </w14:textFill>
        </w:rPr>
        <w:fldChar w:fldCharType="begin"/>
      </w:r>
      <w:r>
        <w:rPr>
          <w:rFonts w:hint="eastAsia" w:ascii="宋体" w:hAnsi="宋体" w:eastAsia="宋体" w:cs="宋体"/>
          <w:b w:val="0"/>
          <w:bCs/>
          <w:color w:val="000000" w:themeColor="text1"/>
          <w14:textFill>
            <w14:solidFill>
              <w14:schemeClr w14:val="tx1"/>
            </w14:solidFill>
          </w14:textFill>
        </w:rPr>
        <w:instrText xml:space="preserve"> PAGEREF _Toc24592 \h </w:instrText>
      </w:r>
      <w:r>
        <w:rPr>
          <w:rFonts w:hint="eastAsia" w:ascii="宋体" w:hAnsi="宋体" w:eastAsia="宋体" w:cs="宋体"/>
          <w:b w:val="0"/>
          <w:bCs/>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27</w:t>
      </w:r>
      <w:r>
        <w:rPr>
          <w:rFonts w:hint="eastAsia" w:ascii="宋体" w:hAnsi="宋体" w:eastAsia="宋体" w:cs="宋体"/>
          <w:b w:val="0"/>
          <w:bCs/>
          <w:color w:val="000000" w:themeColor="text1"/>
          <w14:textFill>
            <w14:solidFill>
              <w14:schemeClr w14:val="tx1"/>
            </w14:solidFill>
          </w14:textFill>
        </w:rPr>
        <w:fldChar w:fldCharType="end"/>
      </w:r>
      <w:r>
        <w:rPr>
          <w:rFonts w:hint="eastAsia" w:ascii="宋体" w:hAnsi="宋体" w:eastAsia="宋体" w:cs="宋体"/>
          <w:b w:val="0"/>
          <w:bCs/>
          <w:color w:val="000000" w:themeColor="text1"/>
          <w14:textFill>
            <w14:solidFill>
              <w14:schemeClr w14:val="tx1"/>
            </w14:solidFill>
          </w14:textFill>
        </w:rPr>
        <w:fldChar w:fldCharType="end"/>
      </w:r>
    </w:p>
    <w:p>
      <w:pPr>
        <w:pStyle w:val="18"/>
        <w:tabs>
          <w:tab w:val="right" w:leader="dot" w:pos="8959"/>
        </w:tabs>
        <w:rPr>
          <w:rFonts w:ascii="宋体" w:hAnsi="宋体" w:eastAsia="宋体" w:cs="宋体"/>
          <w:b w:val="0"/>
          <w:bCs/>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"_Toc25158" </w:instrText>
      </w:r>
      <w:r>
        <w:rPr>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第七章 采购需求</w:t>
      </w:r>
      <w:r>
        <w:rPr>
          <w:rFonts w:hint="eastAsia" w:ascii="宋体" w:hAnsi="宋体" w:eastAsia="宋体" w:cs="宋体"/>
          <w:b w:val="0"/>
          <w:bCs/>
          <w:color w:val="000000" w:themeColor="text1"/>
          <w14:textFill>
            <w14:solidFill>
              <w14:schemeClr w14:val="tx1"/>
            </w14:solidFill>
          </w14:textFill>
        </w:rPr>
        <w:tab/>
      </w:r>
      <w:r>
        <w:rPr>
          <w:rFonts w:hint="eastAsia" w:ascii="宋体" w:hAnsi="宋体" w:eastAsia="宋体" w:cs="宋体"/>
          <w:b w:val="0"/>
          <w:bCs/>
          <w:color w:val="000000" w:themeColor="text1"/>
          <w14:textFill>
            <w14:solidFill>
              <w14:schemeClr w14:val="tx1"/>
            </w14:solidFill>
          </w14:textFill>
        </w:rPr>
        <w:fldChar w:fldCharType="begin"/>
      </w:r>
      <w:r>
        <w:rPr>
          <w:rFonts w:hint="eastAsia" w:ascii="宋体" w:hAnsi="宋体" w:eastAsia="宋体" w:cs="宋体"/>
          <w:b w:val="0"/>
          <w:bCs/>
          <w:color w:val="000000" w:themeColor="text1"/>
          <w14:textFill>
            <w14:solidFill>
              <w14:schemeClr w14:val="tx1"/>
            </w14:solidFill>
          </w14:textFill>
        </w:rPr>
        <w:instrText xml:space="preserve"> PAGEREF _Toc25158 \h </w:instrText>
      </w:r>
      <w:r>
        <w:rPr>
          <w:rFonts w:hint="eastAsia" w:ascii="宋体" w:hAnsi="宋体" w:eastAsia="宋体" w:cs="宋体"/>
          <w:b w:val="0"/>
          <w:bCs/>
          <w:color w:val="000000" w:themeColor="text1"/>
          <w14:textFill>
            <w14:solidFill>
              <w14:schemeClr w14:val="tx1"/>
            </w14:solidFill>
          </w14:textFill>
        </w:rPr>
        <w:fldChar w:fldCharType="separate"/>
      </w:r>
      <w:r>
        <w:rPr>
          <w:rFonts w:hint="eastAsia" w:ascii="宋体" w:hAnsi="宋体" w:eastAsia="宋体" w:cs="宋体"/>
          <w:b w:val="0"/>
          <w:bCs/>
          <w:color w:val="000000" w:themeColor="text1"/>
          <w14:textFill>
            <w14:solidFill>
              <w14:schemeClr w14:val="tx1"/>
            </w14:solidFill>
          </w14:textFill>
        </w:rPr>
        <w:t>46</w:t>
      </w:r>
      <w:r>
        <w:rPr>
          <w:rFonts w:hint="eastAsia" w:ascii="宋体" w:hAnsi="宋体" w:eastAsia="宋体" w:cs="宋体"/>
          <w:b w:val="0"/>
          <w:bCs/>
          <w:color w:val="000000" w:themeColor="text1"/>
          <w14:textFill>
            <w14:solidFill>
              <w14:schemeClr w14:val="tx1"/>
            </w14:solidFill>
          </w14:textFill>
        </w:rPr>
        <w:fldChar w:fldCharType="end"/>
      </w:r>
      <w:r>
        <w:rPr>
          <w:rFonts w:hint="eastAsia" w:ascii="宋体" w:hAnsi="宋体" w:eastAsia="宋体" w:cs="宋体"/>
          <w:b w:val="0"/>
          <w:bCs/>
          <w:color w:val="000000" w:themeColor="text1"/>
          <w14:textFill>
            <w14:solidFill>
              <w14:schemeClr w14:val="tx1"/>
            </w14:solidFill>
          </w14:textFill>
        </w:rPr>
        <w:fldChar w:fldCharType="end"/>
      </w:r>
    </w:p>
    <w:p>
      <w:pPr>
        <w:snapToGrid w:val="0"/>
        <w:spacing w:line="48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14:textFill>
            <w14:solidFill>
              <w14:schemeClr w14:val="tx1"/>
            </w14:solidFill>
          </w14:textFill>
        </w:rPr>
        <w:fldChar w:fldCharType="end"/>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numPr>
          <w:ilvl w:val="0"/>
          <w:numId w:val="1"/>
        </w:numPr>
        <w:rPr>
          <w:rFonts w:ascii="宋体" w:hAnsi="宋体" w:cs="宋体"/>
          <w:color w:val="000000" w:themeColor="text1"/>
          <w14:textFill>
            <w14:solidFill>
              <w14:schemeClr w14:val="tx1"/>
            </w14:solidFill>
          </w14:textFill>
        </w:rPr>
      </w:pPr>
      <w:bookmarkStart w:id="0" w:name="_Toc21395"/>
      <w:r>
        <w:rPr>
          <w:rFonts w:hint="eastAsia" w:ascii="宋体" w:hAnsi="宋体" w:cs="宋体"/>
          <w:color w:val="000000" w:themeColor="text1"/>
          <w14:textFill>
            <w14:solidFill>
              <w14:schemeClr w14:val="tx1"/>
            </w14:solidFill>
          </w14:textFill>
        </w:rPr>
        <w:t>招标公告</w:t>
      </w:r>
      <w:bookmarkEnd w:id="0"/>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24" w:firstLineChars="200"/>
        <w:rPr>
          <w:rFonts w:ascii="宋体" w:hAnsi="宋体" w:cs="宋体"/>
          <w:color w:val="000000" w:themeColor="text1"/>
          <w:szCs w:val="21"/>
          <w14:textFill>
            <w14:solidFill>
              <w14:schemeClr w14:val="tx1"/>
            </w14:solidFill>
          </w14:textFill>
        </w:rPr>
      </w:pPr>
      <w:bookmarkStart w:id="137" w:name="_GoBack"/>
      <w:r>
        <w:rPr>
          <w:rFonts w:hint="eastAsia" w:ascii="宋体" w:hAnsi="宋体" w:cs="宋体"/>
          <w:bCs/>
          <w:color w:val="000000" w:themeColor="text1"/>
          <w:szCs w:val="21"/>
          <w:u w:val="single"/>
          <w14:textFill>
            <w14:solidFill>
              <w14:schemeClr w14:val="tx1"/>
            </w14:solidFill>
          </w14:textFill>
        </w:rPr>
        <w:t>吉安市吉州区教育体育局吉安市吉州区金樟职业教育园建设项目（一期）第三方工程质量检测服务项目</w:t>
      </w:r>
      <w:bookmarkEnd w:id="137"/>
      <w:r>
        <w:rPr>
          <w:rFonts w:hint="eastAsia" w:ascii="宋体" w:hAnsi="宋体" w:cs="宋体"/>
          <w:color w:val="000000" w:themeColor="text1"/>
          <w:szCs w:val="21"/>
          <w14:textFill>
            <w14:solidFill>
              <w14:schemeClr w14:val="tx1"/>
            </w14:solidFill>
          </w14:textFill>
        </w:rPr>
        <w:t>的潜在投标人应在</w:t>
      </w:r>
      <w:r>
        <w:rPr>
          <w:rFonts w:hint="eastAsia" w:ascii="宋体" w:hAnsi="宋体" w:cs="宋体"/>
          <w:color w:val="000000" w:themeColor="text1"/>
          <w:szCs w:val="21"/>
          <w:u w:val="single"/>
          <w14:textFill>
            <w14:solidFill>
              <w14:schemeClr w14:val="tx1"/>
            </w14:solidFill>
          </w14:textFill>
        </w:rPr>
        <w:t>江西省公共资源交易网</w:t>
      </w:r>
      <w:r>
        <w:rPr>
          <w:rFonts w:hint="eastAsia" w:ascii="宋体" w:hAnsi="宋体" w:cs="宋体"/>
          <w:color w:val="000000" w:themeColor="text1"/>
          <w:szCs w:val="21"/>
          <w14:textFill>
            <w14:solidFill>
              <w14:schemeClr w14:val="tx1"/>
            </w14:solidFill>
          </w14:textFill>
        </w:rPr>
        <w:t>获取招标文件，并于</w:t>
      </w:r>
      <w:r>
        <w:rPr>
          <w:rFonts w:hint="eastAsia" w:ascii="宋体" w:hAnsi="宋体" w:cs="宋体"/>
          <w:color w:val="000000" w:themeColor="text1"/>
          <w:szCs w:val="21"/>
          <w:u w:val="single"/>
          <w:lang w:eastAsia="zh-CN"/>
          <w14:textFill>
            <w14:solidFill>
              <w14:schemeClr w14:val="tx1"/>
            </w14:solidFill>
          </w14:textFill>
        </w:rPr>
        <w:t>2023年8月29日9点00分</w:t>
      </w:r>
      <w:r>
        <w:rPr>
          <w:rFonts w:hint="eastAsia" w:ascii="宋体" w:hAnsi="宋体" w:cs="宋体"/>
          <w:bCs/>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北京时间）前递交投标文件</w:t>
      </w:r>
      <w:r>
        <w:rPr>
          <w:rFonts w:hint="eastAsia" w:ascii="宋体" w:hAnsi="宋体" w:cs="宋体"/>
          <w:color w:val="000000" w:themeColor="text1"/>
          <w:szCs w:val="21"/>
          <w14:textFill>
            <w14:solidFill>
              <w14:schemeClr w14:val="tx1"/>
            </w14:solidFill>
          </w14:textFill>
        </w:rPr>
        <w:t>。</w:t>
      </w:r>
    </w:p>
    <w:p>
      <w:pPr>
        <w:pStyle w:val="5"/>
        <w:spacing w:before="0" w:after="0" w:line="360" w:lineRule="auto"/>
        <w:rPr>
          <w:rFonts w:ascii="宋体" w:hAnsi="宋体" w:cs="宋体"/>
          <w:bCs w:val="0"/>
          <w:color w:val="000000" w:themeColor="text1"/>
          <w:sz w:val="21"/>
          <w:szCs w:val="21"/>
          <w14:textFill>
            <w14:solidFill>
              <w14:schemeClr w14:val="tx1"/>
            </w14:solidFill>
          </w14:textFill>
        </w:rPr>
      </w:pPr>
      <w:bookmarkStart w:id="1" w:name="_Toc28359002"/>
      <w:bookmarkStart w:id="2" w:name="_Toc28359079"/>
      <w:bookmarkStart w:id="3" w:name="_Toc35393621"/>
      <w:bookmarkStart w:id="4" w:name="_Toc35393790"/>
      <w:bookmarkStart w:id="5" w:name="_Hlk24379207"/>
      <w:r>
        <w:rPr>
          <w:rFonts w:hint="eastAsia" w:ascii="宋体" w:hAnsi="宋体" w:cs="宋体"/>
          <w:bCs w:val="0"/>
          <w:color w:val="000000" w:themeColor="text1"/>
          <w:sz w:val="21"/>
          <w:szCs w:val="21"/>
          <w14:textFill>
            <w14:solidFill>
              <w14:schemeClr w14:val="tx1"/>
            </w14:solidFill>
          </w14:textFill>
        </w:rPr>
        <w:t>一、项目基本情况</w:t>
      </w:r>
      <w:bookmarkEnd w:id="1"/>
      <w:bookmarkEnd w:id="2"/>
      <w:bookmarkEnd w:id="3"/>
      <w:bookmarkEnd w:id="4"/>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项目编号：【ABXZBZC202301075】</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项目名称：吉安市吉州区金樟职业教育园建设项目（一期）第三方工程质量检测服务项目</w:t>
      </w:r>
    </w:p>
    <w:bookmarkEnd w:id="5"/>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预算金额：550万元</w:t>
      </w:r>
    </w:p>
    <w:p>
      <w:pPr>
        <w:spacing w:line="360" w:lineRule="auto"/>
        <w:ind w:firstLine="424"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最高限价：220万元 </w:t>
      </w:r>
      <w:r>
        <w:rPr>
          <w:rFonts w:hint="eastAsia" w:ascii="宋体" w:hAnsi="宋体" w:cs="宋体"/>
          <w:b/>
          <w:color w:val="000000" w:themeColor="text1"/>
          <w:szCs w:val="21"/>
          <w14:textFill>
            <w14:solidFill>
              <w14:schemeClr w14:val="tx1"/>
            </w14:solidFill>
          </w14:textFill>
        </w:rPr>
        <w:t xml:space="preserve">   </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w:t>
      </w: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336"/>
        <w:gridCol w:w="654"/>
        <w:gridCol w:w="728"/>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6" w:type="dxa"/>
            <w:vAlign w:val="center"/>
          </w:tcPr>
          <w:p>
            <w:pPr>
              <w:pStyle w:val="5"/>
              <w:spacing w:before="0" w:after="0" w:line="24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5336" w:type="dxa"/>
            <w:vAlign w:val="center"/>
          </w:tcPr>
          <w:p>
            <w:pPr>
              <w:pStyle w:val="5"/>
              <w:spacing w:before="0" w:after="0" w:line="24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项目名称</w:t>
            </w:r>
          </w:p>
        </w:tc>
        <w:tc>
          <w:tcPr>
            <w:tcW w:w="654" w:type="dxa"/>
            <w:vAlign w:val="center"/>
          </w:tcPr>
          <w:p>
            <w:pPr>
              <w:pStyle w:val="5"/>
              <w:spacing w:before="0" w:after="0" w:line="24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数量</w:t>
            </w:r>
          </w:p>
        </w:tc>
        <w:tc>
          <w:tcPr>
            <w:tcW w:w="728" w:type="dxa"/>
            <w:vAlign w:val="center"/>
          </w:tcPr>
          <w:p>
            <w:pPr>
              <w:pStyle w:val="5"/>
              <w:spacing w:before="0" w:after="0" w:line="24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单位</w:t>
            </w:r>
          </w:p>
        </w:tc>
        <w:tc>
          <w:tcPr>
            <w:tcW w:w="1607" w:type="dxa"/>
            <w:vAlign w:val="center"/>
          </w:tcPr>
          <w:p>
            <w:pPr>
              <w:pStyle w:val="5"/>
              <w:spacing w:before="0" w:after="0" w:line="24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简要技术需求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vAlign w:val="center"/>
          </w:tcPr>
          <w:p>
            <w:pPr>
              <w:pStyle w:val="5"/>
              <w:spacing w:before="0" w:after="0" w:line="344" w:lineRule="auto"/>
              <w:jc w:val="center"/>
              <w:rPr>
                <w:rFonts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1</w:t>
            </w:r>
          </w:p>
        </w:tc>
        <w:tc>
          <w:tcPr>
            <w:tcW w:w="5336" w:type="dxa"/>
            <w:vAlign w:val="center"/>
          </w:tcPr>
          <w:p>
            <w:pPr>
              <w:pStyle w:val="5"/>
              <w:spacing w:before="0" w:after="0" w:line="344" w:lineRule="auto"/>
              <w:jc w:val="center"/>
              <w:rPr>
                <w:rFonts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吉安市吉州区金樟职业教育园建设项目（一期）第三方工程质量检测服务项目</w:t>
            </w:r>
          </w:p>
        </w:tc>
        <w:tc>
          <w:tcPr>
            <w:tcW w:w="654" w:type="dxa"/>
            <w:vAlign w:val="center"/>
          </w:tcPr>
          <w:p>
            <w:pPr>
              <w:pStyle w:val="5"/>
              <w:spacing w:before="0" w:after="0" w:line="344" w:lineRule="auto"/>
              <w:jc w:val="center"/>
              <w:rPr>
                <w:rFonts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1</w:t>
            </w:r>
          </w:p>
        </w:tc>
        <w:tc>
          <w:tcPr>
            <w:tcW w:w="728" w:type="dxa"/>
            <w:vAlign w:val="center"/>
          </w:tcPr>
          <w:p>
            <w:pPr>
              <w:pStyle w:val="5"/>
              <w:spacing w:before="0" w:after="0" w:line="344" w:lineRule="auto"/>
              <w:jc w:val="center"/>
              <w:rPr>
                <w:rFonts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项</w:t>
            </w:r>
          </w:p>
        </w:tc>
        <w:tc>
          <w:tcPr>
            <w:tcW w:w="1607" w:type="dxa"/>
            <w:vAlign w:val="center"/>
          </w:tcPr>
          <w:p>
            <w:pPr>
              <w:pStyle w:val="5"/>
              <w:spacing w:before="0" w:after="0" w:line="344" w:lineRule="auto"/>
              <w:jc w:val="center"/>
              <w:rPr>
                <w:rFonts w:ascii="宋体" w:hAnsi="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14:textFill>
                  <w14:solidFill>
                    <w14:schemeClr w14:val="tx1"/>
                  </w14:solidFill>
                </w14:textFill>
              </w:rPr>
              <w:t>详见公告附件</w:t>
            </w:r>
          </w:p>
        </w:tc>
      </w:tr>
    </w:tbl>
    <w:p>
      <w:pPr>
        <w:spacing w:line="344" w:lineRule="auto"/>
        <w:ind w:firstLine="424"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服务合同履行期限：从检测单位进场至所有服务项目完成，服务周期必须满足实际施工要求和验收要求，具体开工时间以采购人书面通知或合同约定为准。因采购人原因或现场不具备作业条件，检测时间顺延。</w:t>
      </w:r>
    </w:p>
    <w:p>
      <w:pPr>
        <w:spacing w:line="360" w:lineRule="auto"/>
        <w:ind w:firstLine="424" w:firstLineChars="200"/>
        <w:rPr>
          <w:rFonts w:ascii="宋体" w:hAnsi="宋体" w:cs="宋体"/>
          <w:i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本项目接受联合体投标：</w:t>
      </w:r>
      <w:r>
        <w:rPr>
          <w:rFonts w:hint="eastAsia" w:ascii="宋体" w:hAnsi="宋体" w:cs="宋体"/>
          <w:bCs/>
          <w:iCs/>
          <w:color w:val="000000" w:themeColor="text1"/>
          <w:szCs w:val="21"/>
          <w14:textFill>
            <w14:solidFill>
              <w14:schemeClr w14:val="tx1"/>
            </w14:solidFill>
          </w14:textFill>
        </w:rPr>
        <w:t>否</w:t>
      </w:r>
      <w:r>
        <w:rPr>
          <w:rFonts w:hint="eastAsia" w:ascii="宋体" w:hAnsi="宋体" w:cs="宋体"/>
          <w:iCs/>
          <w:color w:val="000000" w:themeColor="text1"/>
          <w:szCs w:val="21"/>
          <w14:textFill>
            <w14:solidFill>
              <w14:schemeClr w14:val="tx1"/>
            </w14:solidFill>
          </w14:textFill>
        </w:rPr>
        <w:t>。</w:t>
      </w:r>
    </w:p>
    <w:p>
      <w:pPr>
        <w:pStyle w:val="5"/>
        <w:spacing w:before="0" w:after="0" w:line="360" w:lineRule="auto"/>
        <w:rPr>
          <w:rFonts w:ascii="宋体" w:hAnsi="宋体" w:cs="宋体"/>
          <w:bCs w:val="0"/>
          <w:color w:val="000000" w:themeColor="text1"/>
          <w:sz w:val="21"/>
          <w:szCs w:val="21"/>
          <w14:textFill>
            <w14:solidFill>
              <w14:schemeClr w14:val="tx1"/>
            </w14:solidFill>
          </w14:textFill>
        </w:rPr>
      </w:pPr>
      <w:bookmarkStart w:id="6" w:name="_Toc28359090"/>
      <w:bookmarkStart w:id="7" w:name="_Toc28359013"/>
      <w:bookmarkStart w:id="8" w:name="_Toc35393630"/>
      <w:bookmarkStart w:id="9" w:name="_Toc35393799"/>
      <w:bookmarkStart w:id="10" w:name="_Toc35393623"/>
      <w:bookmarkStart w:id="11" w:name="_Toc28359081"/>
      <w:bookmarkStart w:id="12" w:name="_Toc35393792"/>
      <w:bookmarkStart w:id="13" w:name="_Toc28359004"/>
      <w:r>
        <w:rPr>
          <w:rFonts w:hint="eastAsia" w:ascii="宋体" w:hAnsi="宋体" w:cs="宋体"/>
          <w:bCs w:val="0"/>
          <w:color w:val="000000" w:themeColor="text1"/>
          <w:sz w:val="21"/>
          <w:szCs w:val="21"/>
          <w14:textFill>
            <w14:solidFill>
              <w14:schemeClr w14:val="tx1"/>
            </w14:solidFill>
          </w14:textFill>
        </w:rPr>
        <w:t>二、申请人的资格要求</w:t>
      </w:r>
      <w:bookmarkEnd w:id="6"/>
      <w:bookmarkEnd w:id="7"/>
      <w:bookmarkEnd w:id="8"/>
      <w:bookmarkEnd w:id="9"/>
    </w:p>
    <w:p>
      <w:pPr>
        <w:snapToGrid w:val="0"/>
        <w:spacing w:line="360" w:lineRule="auto"/>
        <w:ind w:firstLine="424"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1、基本资格条件</w:t>
      </w: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满足《中华人民共和国政府采购法》第二十二条规定；</w:t>
      </w: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white"/>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 xml:space="preserve">1）具有独立承担民事责任的能力；    </w:t>
      </w: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（2）具有良好的商业信誉和健全的财务会计制度；</w:t>
      </w: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（3）有依法缴纳税收和社会保障资金的良好记录；</w:t>
      </w: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（4）具有履行合同所必须的设备和专业技术能力；</w:t>
      </w: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（5）参加政府采购活动前三年内，在经营活动中没有重大违法记录；</w:t>
      </w:r>
    </w:p>
    <w:p>
      <w:pPr>
        <w:snapToGrid w:val="0"/>
        <w:spacing w:line="360" w:lineRule="auto"/>
        <w:ind w:firstLine="424"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2、投标人特定资格条件</w:t>
      </w: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（1）投标人具有市场监督管理部门或质量技术监督部门颁发的检验检测机构资质认定证书，提供</w:t>
      </w:r>
      <w:r>
        <w:rPr>
          <w:rFonts w:hint="eastAsia" w:asciiTheme="majorEastAsia" w:hAnsiTheme="majorEastAsia" w:eastAsiaTheme="majorEastAsia" w:cstheme="majorEastAsia"/>
          <w:color w:val="000000" w:themeColor="text1"/>
          <w14:textFill>
            <w14:solidFill>
              <w14:schemeClr w14:val="tx1"/>
            </w14:solidFill>
          </w14:textFill>
        </w:rPr>
        <w:t>有效期内</w:t>
      </w:r>
      <w:r>
        <w:rPr>
          <w:rFonts w:hint="eastAsia" w:ascii="宋体" w:hAnsi="宋体" w:cs="宋体"/>
          <w:color w:val="000000" w:themeColor="text1"/>
          <w:szCs w:val="21"/>
          <w14:textFill>
            <w14:solidFill>
              <w14:schemeClr w14:val="tx1"/>
            </w14:solidFill>
          </w14:textFill>
        </w:rPr>
        <w:t>证书扫描件加盖公章。</w:t>
      </w: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（2）投标人具有住房和城乡建设厅颁发的建设工程质量检测机构资质证书（检测范围应包含地基基础工程检测、建筑节能检测、主体结构工程现场检测、见证取样检测），提供</w:t>
      </w:r>
      <w:r>
        <w:rPr>
          <w:rFonts w:hint="eastAsia" w:asciiTheme="majorEastAsia" w:hAnsiTheme="majorEastAsia" w:eastAsiaTheme="majorEastAsia" w:cstheme="majorEastAsia"/>
          <w:color w:val="000000" w:themeColor="text1"/>
          <w14:textFill>
            <w14:solidFill>
              <w14:schemeClr w14:val="tx1"/>
            </w14:solidFill>
          </w14:textFill>
        </w:rPr>
        <w:t>有效期内</w:t>
      </w:r>
      <w:r>
        <w:rPr>
          <w:rFonts w:hint="eastAsia" w:ascii="宋体" w:hAnsi="宋体" w:cs="宋体"/>
          <w:color w:val="000000" w:themeColor="text1"/>
          <w:szCs w:val="21"/>
          <w14:textFill>
            <w14:solidFill>
              <w14:schemeClr w14:val="tx1"/>
            </w14:solidFill>
          </w14:textFill>
        </w:rPr>
        <w:t>证书扫描件加盖公章。</w:t>
      </w:r>
    </w:p>
    <w:p>
      <w:pPr>
        <w:pStyle w:val="40"/>
        <w:spacing w:line="360" w:lineRule="auto"/>
        <w:ind w:firstLine="530" w:firstLineChars="25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hint="eastAsia" w:ascii="宋体" w:hAnsi="宋体" w:cs="仿宋"/>
          <w:color w:val="000000" w:themeColor="text1"/>
          <w:sz w:val="21"/>
          <w:szCs w:val="21"/>
          <w14:textFill>
            <w14:solidFill>
              <w14:schemeClr w14:val="tx1"/>
            </w14:solidFill>
          </w14:textFill>
        </w:rPr>
        <w:t>外省来赣投标单位开标前应在“江西住建云平台</w:t>
      </w:r>
      <w:r>
        <w:rPr>
          <w:rFonts w:hint="eastAsia" w:ascii="宋体" w:hAnsi="宋体" w:cs="仿宋"/>
          <w:color w:val="000000" w:themeColor="text1"/>
          <w:sz w:val="21"/>
          <w:szCs w:val="21"/>
          <w:lang w:val="zh-CN" w:bidi="zh-CN"/>
          <w14:textFill>
            <w14:solidFill>
              <w14:schemeClr w14:val="tx1"/>
            </w14:solidFill>
          </w14:textFill>
        </w:rPr>
        <w:t>”-“住</w:t>
      </w:r>
      <w:r>
        <w:rPr>
          <w:rFonts w:hint="eastAsia" w:ascii="宋体" w:hAnsi="宋体" w:cs="仿宋"/>
          <w:color w:val="000000" w:themeColor="text1"/>
          <w:sz w:val="21"/>
          <w:szCs w:val="21"/>
          <w14:textFill>
            <w14:solidFill>
              <w14:schemeClr w14:val="tx1"/>
            </w14:solidFill>
          </w14:textFill>
        </w:rPr>
        <w:t>建云信息登记系统</w:t>
      </w:r>
      <w:r>
        <w:rPr>
          <w:rFonts w:hint="eastAsia" w:ascii="宋体" w:hAnsi="宋体" w:cs="仿宋"/>
          <w:color w:val="000000" w:themeColor="text1"/>
          <w:sz w:val="21"/>
          <w:szCs w:val="21"/>
          <w:lang w:val="zh-CN" w:bidi="zh-CN"/>
          <w14:textFill>
            <w14:solidFill>
              <w14:schemeClr w14:val="tx1"/>
            </w14:solidFill>
          </w14:textFill>
        </w:rPr>
        <w:t>”上办</w:t>
      </w:r>
      <w:r>
        <w:rPr>
          <w:rFonts w:hint="eastAsia" w:ascii="宋体" w:hAnsi="宋体" w:cs="仿宋"/>
          <w:color w:val="000000" w:themeColor="text1"/>
          <w:sz w:val="21"/>
          <w:szCs w:val="21"/>
          <w14:textFill>
            <w14:solidFill>
              <w14:schemeClr w14:val="tx1"/>
            </w14:solidFill>
          </w14:textFill>
        </w:rPr>
        <w:t>理好有效的企业信息登记，并提供网上查询截图加盖单位公章；投标人及本项目拟派检测人员应在</w:t>
      </w:r>
      <w:r>
        <w:rPr>
          <w:rFonts w:hint="eastAsia" w:ascii="宋体" w:hAnsi="宋体" w:cs="仿宋"/>
          <w:color w:val="000000" w:themeColor="text1"/>
          <w:sz w:val="21"/>
          <w:szCs w:val="21"/>
          <w:lang w:val="zh-CN" w:bidi="zh-CN"/>
          <w14:textFill>
            <w14:solidFill>
              <w14:schemeClr w14:val="tx1"/>
            </w14:solidFill>
          </w14:textFill>
        </w:rPr>
        <w:t>“江</w:t>
      </w:r>
      <w:r>
        <w:rPr>
          <w:rFonts w:hint="eastAsia" w:ascii="宋体" w:hAnsi="宋体" w:cs="仿宋"/>
          <w:color w:val="000000" w:themeColor="text1"/>
          <w:sz w:val="21"/>
          <w:szCs w:val="21"/>
          <w14:textFill>
            <w14:solidFill>
              <w14:schemeClr w14:val="tx1"/>
            </w14:solidFill>
          </w14:textFill>
        </w:rPr>
        <w:t>西住建云平台</w:t>
      </w:r>
      <w:r>
        <w:rPr>
          <w:rFonts w:hint="eastAsia" w:ascii="宋体" w:hAnsi="宋体" w:cs="仿宋"/>
          <w:color w:val="000000" w:themeColor="text1"/>
          <w:sz w:val="21"/>
          <w:szCs w:val="21"/>
          <w:lang w:val="zh-CN" w:bidi="zh-CN"/>
          <w14:textFill>
            <w14:solidFill>
              <w14:schemeClr w14:val="tx1"/>
            </w14:solidFill>
          </w14:textFill>
        </w:rPr>
        <w:t>”- “住建</w:t>
      </w:r>
      <w:r>
        <w:rPr>
          <w:rFonts w:hint="eastAsia" w:ascii="宋体" w:hAnsi="宋体" w:cs="仿宋"/>
          <w:color w:val="000000" w:themeColor="text1"/>
          <w:sz w:val="21"/>
          <w:szCs w:val="21"/>
          <w14:textFill>
            <w14:solidFill>
              <w14:schemeClr w14:val="tx1"/>
            </w14:solidFill>
          </w14:textFill>
        </w:rPr>
        <w:t>云信息登记系 统"中可以查询，并提供截图证明加盖投标单位公章。（注：外省来赣投标单位在原</w:t>
      </w:r>
      <w:r>
        <w:rPr>
          <w:rFonts w:hint="eastAsia" w:ascii="宋体" w:hAnsi="宋体" w:cs="仿宋"/>
          <w:color w:val="000000" w:themeColor="text1"/>
          <w:sz w:val="21"/>
          <w:szCs w:val="21"/>
          <w:lang w:val="zh-CN" w:bidi="zh-CN"/>
          <w14:textFill>
            <w14:solidFill>
              <w14:schemeClr w14:val="tx1"/>
            </w14:solidFill>
          </w14:textFill>
        </w:rPr>
        <w:t>“江西</w:t>
      </w:r>
      <w:r>
        <w:rPr>
          <w:rFonts w:hint="eastAsia" w:ascii="宋体" w:hAnsi="宋体" w:cs="仿宋"/>
          <w:color w:val="000000" w:themeColor="text1"/>
          <w:sz w:val="21"/>
          <w:szCs w:val="21"/>
          <w14:textFill>
            <w14:solidFill>
              <w14:schemeClr w14:val="tx1"/>
            </w14:solidFill>
          </w14:textFill>
        </w:rPr>
        <w:t>省省外建设工程企业进赣信息登记管理系统”中已登记的信息数据将迁移至</w:t>
      </w:r>
      <w:r>
        <w:rPr>
          <w:rFonts w:hint="eastAsia" w:ascii="宋体" w:hAnsi="宋体" w:cs="仿宋"/>
          <w:color w:val="000000" w:themeColor="text1"/>
          <w:sz w:val="21"/>
          <w:szCs w:val="21"/>
          <w:lang w:val="zh-CN" w:bidi="zh-CN"/>
          <w14:textFill>
            <w14:solidFill>
              <w14:schemeClr w14:val="tx1"/>
            </w14:solidFill>
          </w14:textFill>
        </w:rPr>
        <w:t>“住建</w:t>
      </w:r>
      <w:r>
        <w:rPr>
          <w:rFonts w:hint="eastAsia" w:ascii="宋体" w:hAnsi="宋体" w:cs="仿宋"/>
          <w:color w:val="000000" w:themeColor="text1"/>
          <w:sz w:val="21"/>
          <w:szCs w:val="21"/>
          <w14:textFill>
            <w14:solidFill>
              <w14:schemeClr w14:val="tx1"/>
            </w14:solidFill>
          </w14:textFill>
        </w:rPr>
        <w:t>云信息登记系统”，并在</w:t>
      </w:r>
      <w:r>
        <w:rPr>
          <w:rFonts w:hint="eastAsia" w:ascii="宋体" w:hAnsi="宋体" w:cs="仿宋"/>
          <w:color w:val="000000" w:themeColor="text1"/>
          <w:sz w:val="21"/>
          <w:szCs w:val="21"/>
          <w:lang w:val="zh-CN" w:bidi="zh-CN"/>
          <w14:textFill>
            <w14:solidFill>
              <w14:schemeClr w14:val="tx1"/>
            </w14:solidFill>
          </w14:textFill>
        </w:rPr>
        <w:t>“江西</w:t>
      </w:r>
      <w:r>
        <w:rPr>
          <w:rFonts w:hint="eastAsia" w:ascii="宋体" w:hAnsi="宋体" w:cs="仿宋"/>
          <w:color w:val="000000" w:themeColor="text1"/>
          <w:sz w:val="21"/>
          <w:szCs w:val="21"/>
          <w14:textFill>
            <w14:solidFill>
              <w14:schemeClr w14:val="tx1"/>
            </w14:solidFill>
          </w14:textFill>
        </w:rPr>
        <w:t>住建云平台”予以公布，无需重新登记。具体详见《关于启用江西住建云平台省外建设工程企业进赣信息登记管理系统的通知》赣建审批（2020）4号文）</w:t>
      </w:r>
    </w:p>
    <w:p>
      <w:pPr>
        <w:snapToGrid w:val="0"/>
        <w:spacing w:line="360" w:lineRule="auto"/>
        <w:ind w:firstLine="424"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3、其它条件</w:t>
      </w: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（3）单位负责人为同一人或者存在直接控股、管理关系的不同投标人，不得参加同一合同项下的采购活动；</w:t>
      </w: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人在投标文件递交截止时间前被“信用中国”网站列入失信被执行人或重大税收违法案件当事人名单的，或被“中国政府采购网”网站列入政府采购严重违法失信行为记录名单（处罚期限尚未届满的），不得参与本项目的政府采购活动；</w:t>
      </w: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（5）投标人须提供法人身份证明或法人代表授权委托书及被授权人身份证扫描件加盖公章。</w:t>
      </w:r>
    </w:p>
    <w:p>
      <w:pPr>
        <w:pStyle w:val="5"/>
        <w:spacing w:line="360" w:lineRule="auto"/>
        <w:ind w:firstLine="318" w:firstLineChars="15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4、落实政府采购政策需满足的资格要求：本项目专门面向中小企业采购。</w:t>
      </w:r>
    </w:p>
    <w:p>
      <w:pPr>
        <w:pStyle w:val="5"/>
        <w:spacing w:before="0" w:after="0"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三、获取招标文件</w:t>
      </w:r>
      <w:bookmarkEnd w:id="10"/>
      <w:bookmarkEnd w:id="11"/>
      <w:bookmarkEnd w:id="12"/>
      <w:bookmarkEnd w:id="13"/>
    </w:p>
    <w:p>
      <w:pPr>
        <w:spacing w:line="360" w:lineRule="auto"/>
        <w:ind w:firstLine="54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bookmarkStart w:id="14" w:name="_Toc28359082"/>
      <w:bookmarkStart w:id="15" w:name="_Toc28359005"/>
      <w:bookmarkStart w:id="16" w:name="_Toc35393624"/>
      <w:bookmarkStart w:id="17" w:name="_Toc35393793"/>
      <w:r>
        <w:rPr>
          <w:rFonts w:hint="eastAsia" w:ascii="宋体" w:hAnsi="宋体" w:cs="宋体"/>
          <w:color w:val="000000" w:themeColor="text1"/>
          <w:szCs w:val="21"/>
          <w14:textFill>
            <w14:solidFill>
              <w14:schemeClr w14:val="tx1"/>
            </w14:solidFill>
          </w14:textFill>
        </w:rPr>
        <w:t>2023年</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日08：00至2023年</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日17：00</w:t>
      </w:r>
      <w:r>
        <w:rPr>
          <w:rFonts w:hint="eastAsia" w:ascii="宋体" w:hAnsi="宋体" w:cs="宋体"/>
          <w:bCs/>
          <w:color w:val="000000" w:themeColor="text1"/>
          <w:szCs w:val="21"/>
          <w14:textFill>
            <w14:solidFill>
              <w14:schemeClr w14:val="tx1"/>
            </w14:solidFill>
          </w14:textFill>
        </w:rPr>
        <w:t>（北京时间）</w:t>
      </w:r>
    </w:p>
    <w:p>
      <w:pPr>
        <w:spacing w:line="360" w:lineRule="auto"/>
        <w:ind w:firstLine="54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地点：江西省公共资源交易网</w:t>
      </w:r>
    </w:p>
    <w:p>
      <w:pPr>
        <w:spacing w:line="360" w:lineRule="auto"/>
        <w:ind w:firstLine="54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方式：网上下载</w:t>
      </w:r>
    </w:p>
    <w:p>
      <w:pPr>
        <w:spacing w:line="360" w:lineRule="auto"/>
        <w:ind w:firstLine="54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售价：0元/份</w:t>
      </w:r>
    </w:p>
    <w:p>
      <w:pPr>
        <w:pStyle w:val="5"/>
        <w:spacing w:before="0" w:after="0" w:line="360" w:lineRule="auto"/>
        <w:rPr>
          <w:rFonts w:ascii="宋体" w:hAnsi="宋体" w:cs="宋体"/>
          <w:bCs w:val="0"/>
          <w:color w:val="000000" w:themeColor="text1"/>
          <w:sz w:val="21"/>
          <w:szCs w:val="21"/>
          <w14:textFill>
            <w14:solidFill>
              <w14:schemeClr w14:val="tx1"/>
            </w14:solidFill>
          </w14:textFill>
        </w:rPr>
      </w:pPr>
      <w:r>
        <w:rPr>
          <w:rFonts w:hint="eastAsia" w:ascii="宋体" w:hAnsi="宋体" w:cs="宋体"/>
          <w:bCs w:val="0"/>
          <w:color w:val="000000" w:themeColor="text1"/>
          <w:sz w:val="21"/>
          <w:szCs w:val="21"/>
          <w14:textFill>
            <w14:solidFill>
              <w14:schemeClr w14:val="tx1"/>
            </w14:solidFill>
          </w14:textFill>
        </w:rPr>
        <w:t>四、提交投标文件</w:t>
      </w:r>
      <w:bookmarkEnd w:id="14"/>
      <w:bookmarkEnd w:id="15"/>
      <w:r>
        <w:rPr>
          <w:rFonts w:hint="eastAsia" w:ascii="宋体" w:hAnsi="宋体" w:cs="宋体"/>
          <w:bCs w:val="0"/>
          <w:color w:val="000000" w:themeColor="text1"/>
          <w:sz w:val="21"/>
          <w:szCs w:val="21"/>
          <w14:textFill>
            <w14:solidFill>
              <w14:schemeClr w14:val="tx1"/>
            </w14:solidFill>
          </w14:textFill>
        </w:rPr>
        <w:t>截止时间、开标时间和地点</w:t>
      </w:r>
      <w:bookmarkEnd w:id="16"/>
      <w:bookmarkEnd w:id="17"/>
    </w:p>
    <w:p>
      <w:pPr>
        <w:spacing w:line="360" w:lineRule="auto"/>
        <w:ind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2023年8月29日9点00分</w:t>
      </w:r>
      <w:r>
        <w:rPr>
          <w:rFonts w:hint="eastAsia" w:ascii="宋体" w:hAnsi="宋体" w:cs="宋体"/>
          <w:bCs/>
          <w:color w:val="000000" w:themeColor="text1"/>
          <w:szCs w:val="21"/>
          <w14:textFill>
            <w14:solidFill>
              <w14:schemeClr w14:val="tx1"/>
            </w14:solidFill>
          </w14:textFill>
        </w:rPr>
        <w:t>（北京时间）</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地点：吉安市公共资源交易中心十一楼（不见面开标厅）。</w:t>
      </w:r>
    </w:p>
    <w:p>
      <w:pPr>
        <w:pStyle w:val="5"/>
        <w:spacing w:before="0" w:after="0" w:line="360" w:lineRule="auto"/>
        <w:rPr>
          <w:rFonts w:ascii="宋体" w:hAnsi="宋体" w:cs="宋体"/>
          <w:bCs w:val="0"/>
          <w:color w:val="000000" w:themeColor="text1"/>
          <w:sz w:val="21"/>
          <w:szCs w:val="21"/>
          <w14:textFill>
            <w14:solidFill>
              <w14:schemeClr w14:val="tx1"/>
            </w14:solidFill>
          </w14:textFill>
        </w:rPr>
      </w:pPr>
      <w:bookmarkStart w:id="18" w:name="_Toc28359084"/>
      <w:bookmarkStart w:id="19" w:name="_Toc35393625"/>
      <w:bookmarkStart w:id="20" w:name="_Toc35393794"/>
      <w:bookmarkStart w:id="21" w:name="_Toc28359007"/>
      <w:r>
        <w:rPr>
          <w:rFonts w:hint="eastAsia" w:ascii="宋体" w:hAnsi="宋体" w:cs="宋体"/>
          <w:bCs w:val="0"/>
          <w:color w:val="000000" w:themeColor="text1"/>
          <w:sz w:val="21"/>
          <w:szCs w:val="21"/>
          <w14:textFill>
            <w14:solidFill>
              <w14:schemeClr w14:val="tx1"/>
            </w14:solidFill>
          </w14:textFill>
        </w:rPr>
        <w:t>五、公告期限</w:t>
      </w:r>
      <w:bookmarkEnd w:id="18"/>
      <w:bookmarkEnd w:id="19"/>
      <w:bookmarkEnd w:id="20"/>
      <w:bookmarkEnd w:id="21"/>
    </w:p>
    <w:p>
      <w:pPr>
        <w:spacing w:line="360" w:lineRule="auto"/>
        <w:ind w:firstLine="424"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pPr>
        <w:pStyle w:val="5"/>
        <w:spacing w:before="0" w:after="0" w:line="360" w:lineRule="auto"/>
        <w:rPr>
          <w:rFonts w:ascii="宋体" w:hAnsi="宋体" w:cs="宋体"/>
          <w:bCs w:val="0"/>
          <w:color w:val="000000" w:themeColor="text1"/>
          <w:sz w:val="21"/>
          <w:szCs w:val="21"/>
          <w14:textFill>
            <w14:solidFill>
              <w14:schemeClr w14:val="tx1"/>
            </w14:solidFill>
          </w14:textFill>
        </w:rPr>
      </w:pPr>
      <w:bookmarkStart w:id="22" w:name="_Toc35393795"/>
      <w:bookmarkStart w:id="23" w:name="_Toc35393626"/>
      <w:r>
        <w:rPr>
          <w:rFonts w:hint="eastAsia" w:ascii="宋体" w:hAnsi="宋体" w:cs="宋体"/>
          <w:bCs w:val="0"/>
          <w:color w:val="000000" w:themeColor="text1"/>
          <w:sz w:val="21"/>
          <w:szCs w:val="21"/>
          <w14:textFill>
            <w14:solidFill>
              <w14:schemeClr w14:val="tx1"/>
            </w14:solidFill>
          </w14:textFill>
        </w:rPr>
        <w:t>六、其他补充事宜</w:t>
      </w:r>
      <w:bookmarkEnd w:id="22"/>
      <w:bookmarkEnd w:id="23"/>
    </w:p>
    <w:p>
      <w:pPr>
        <w:wordWrap w:val="0"/>
        <w:spacing w:line="360" w:lineRule="auto"/>
        <w:ind w:firstLine="424" w:firstLineChars="200"/>
        <w:jc w:val="left"/>
        <w:rPr>
          <w:rFonts w:ascii="宋体" w:hAnsi="宋体" w:cs="宋体"/>
          <w:color w:val="000000" w:themeColor="text1"/>
          <w:szCs w:val="21"/>
          <w14:textFill>
            <w14:solidFill>
              <w14:schemeClr w14:val="tx1"/>
            </w14:solidFill>
          </w14:textFill>
        </w:rPr>
      </w:pPr>
      <w:bookmarkStart w:id="24" w:name="_Toc35393796"/>
      <w:bookmarkStart w:id="25" w:name="_Toc35393627"/>
      <w:bookmarkStart w:id="26" w:name="_Toc28359008"/>
      <w:bookmarkStart w:id="27" w:name="_Toc28359085"/>
      <w:r>
        <w:rPr>
          <w:rFonts w:hint="eastAsia" w:ascii="宋体" w:hAnsi="宋体" w:cs="宋体"/>
          <w:color w:val="000000" w:themeColor="text1"/>
          <w:szCs w:val="21"/>
          <w14:textFill>
            <w14:solidFill>
              <w14:schemeClr w14:val="tx1"/>
            </w14:solidFill>
          </w14:textFill>
        </w:rPr>
        <w:t>1.有意向的投标人必须在江西省公共资源交易网（http://www.jxsggzy.cn/web/）注册并办理江西省CA数字证书和电子签章，具体要求详见“江西省公共资源交易网站首页CA及签章办理流程”。</w:t>
      </w:r>
    </w:p>
    <w:p>
      <w:pPr>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2.参与采购活动其他事项：</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本项目采用“不见面开标”系统开标，各投标人无需到开标现场参与本项目开标活动。但投标人被授权人必须能够熟练的操作线上新点不见面开标系统，因业务不熟悉而导致的一切后果由投标企业自行承担。一个项目只能有一个委托代理人，委托代理人需将法人授权委托书（法人参与投标的无需提供授权委托书）、本人身份证的证明材料原件扫描制作到投标文件中。授权委托人在项目开、评标期间必须保持在线状态，随时通过“不见面开标”系统接收评标委员会的询标等信息，并在“互动交流”中对询标内容进行回复（自询标内容发出起20分钟内完成回复），否则视为放弃解释说明的权利且完全认可专家的意见。投标人回复询标内容时需将询标内容和回复意见打印并加盖投标人单位公章后扫描上传至“互动交流”（回复样式以采购代理机构发出的询标函格式为准）。</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（2）投标文件解锁时间：在采购人宣布开始解锁后，所有投标人在20分钟内必须完成解锁。若在规定时间内投标企业未解锁完成，解锁无效，系统将其投标文件退回，视为废标。</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（3）投标人对开标过程和评标结果有异议的，可将异议内容以书面形式提出并加盖单位公章后扫描上传至本项目不见面开标大厅“开标异议文字提问”栏中。</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（4）意外情况的处理：</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开标场所出现下列情形导致系统无法正常运行，或者无法保证交易过程的公平、公正和信息安全时，采购人、采购代理机构、交易中心免责：</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①所涉开标项目电子服务、交易系统服务器发生故障而无法访问网站或无法使用系统；</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②所涉开标项目电子服务、交易系统的软件或网络数据库出现错误，不能进行操作；</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③系统存在安全漏洞，有潜在的涉密危险；</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④运行服务器病毒发作导致系统无法正常运行的；</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⑤电力系统发生故障导致交易系统无法运行的；</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⑥其他不可抗力（地震、洪水等）原因导致开标活动无法正常进行的。</w:t>
      </w:r>
    </w:p>
    <w:p>
      <w:p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出现上述所列情形，不能及时解决的，应由项目实施主体、监管部门和交易中心及时进行协商。可以采取以下办法处理：</w:t>
      </w:r>
    </w:p>
    <w:p>
      <w:pPr>
        <w:numPr>
          <w:ilvl w:val="0"/>
          <w:numId w:val="2"/>
        </w:num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系统或网络故障在三小时内能排除的，项目不暂停开标，三小时内系统恢复运行后继续实施开标。</w:t>
      </w:r>
    </w:p>
    <w:p>
      <w:pPr>
        <w:numPr>
          <w:ilvl w:val="0"/>
          <w:numId w:val="2"/>
        </w:numPr>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系统或网络故障在三个小时内未能排除的，项目暂停开标，并在江西省共资源交易网、吉安政府采购网等网站发布暂停通告，待系统恢复后另行通知开标。</w:t>
      </w:r>
    </w:p>
    <w:p>
      <w:pPr>
        <w:wordWrap w:val="0"/>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（5）投标企业应仔细阅读“吉安不见面开标大厅-投标人操作手册”（下载地址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"http://ggzy.jian.gov.cn/zlxz/" </w:instrText>
      </w:r>
      <w:r>
        <w:rPr>
          <w:color w:val="000000" w:themeColor="text1"/>
          <w14:textFill>
            <w14:solidFill>
              <w14:schemeClr w14:val="tx1"/>
            </w14:solidFill>
          </w14:textFill>
        </w:rPr>
        <w:fldChar w:fldCharType="separate"/>
      </w:r>
      <w:r>
        <w:rPr>
          <w:rFonts w:hint="eastAsia" w:ascii="宋体" w:hAnsi="宋体" w:cs="宋体"/>
          <w:bCs/>
          <w:color w:val="000000" w:themeColor="text1"/>
          <w:szCs w:val="21"/>
          <w14:textFill>
            <w14:solidFill>
              <w14:schemeClr w14:val="tx1"/>
            </w14:solidFill>
          </w14:textFill>
        </w:rPr>
        <w:t>http://ggzy.jian.gov.cn/zlxz/</w:t>
      </w:r>
      <w:r>
        <w:rPr>
          <w:rFonts w:hint="eastAsia" w:ascii="宋体" w:hAnsi="宋体" w:cs="宋体"/>
          <w:bCs/>
          <w:color w:val="000000" w:themeColor="text1"/>
          <w:szCs w:val="21"/>
          <w14:textFill>
            <w14:solidFill>
              <w14:schemeClr w14:val="tx1"/>
            </w14:solidFill>
          </w14:textFill>
        </w:rPr>
        <w:fldChar w:fldCharType="end"/>
      </w:r>
      <w:r>
        <w:rPr>
          <w:rFonts w:hint="eastAsia" w:ascii="宋体" w:hAnsi="宋体" w:cs="宋体"/>
          <w:bCs/>
          <w:color w:val="000000" w:themeColor="text1"/>
          <w:szCs w:val="21"/>
          <w14:textFill>
            <w14:solidFill>
              <w14:schemeClr w14:val="tx1"/>
            </w14:solidFill>
          </w14:textFill>
        </w:rPr>
        <w:t>），如有疑问请联系新点工作人员，联系电话：400-998-0000。</w:t>
      </w:r>
    </w:p>
    <w:p>
      <w:pPr>
        <w:wordWrap w:val="0"/>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（6）本项目采用“远程异地”评标系统评标。</w:t>
      </w:r>
    </w:p>
    <w:p>
      <w:pPr>
        <w:pStyle w:val="5"/>
        <w:spacing w:before="0" w:after="0" w:line="360" w:lineRule="auto"/>
        <w:rPr>
          <w:rFonts w:ascii="宋体" w:hAnsi="宋体" w:cs="宋体"/>
          <w:bCs w:val="0"/>
          <w:color w:val="000000" w:themeColor="text1"/>
          <w:sz w:val="21"/>
          <w:szCs w:val="21"/>
          <w14:textFill>
            <w14:solidFill>
              <w14:schemeClr w14:val="tx1"/>
            </w14:solidFill>
          </w14:textFill>
        </w:rPr>
      </w:pPr>
      <w:r>
        <w:rPr>
          <w:rFonts w:hint="eastAsia" w:ascii="宋体" w:hAnsi="宋体" w:cs="宋体"/>
          <w:bCs w:val="0"/>
          <w:color w:val="000000" w:themeColor="text1"/>
          <w:sz w:val="21"/>
          <w:szCs w:val="21"/>
          <w14:textFill>
            <w14:solidFill>
              <w14:schemeClr w14:val="tx1"/>
            </w14:solidFill>
          </w14:textFill>
        </w:rPr>
        <w:t>七、对本次招标提出询问，请按以下方式联系。</w:t>
      </w:r>
      <w:bookmarkEnd w:id="24"/>
      <w:bookmarkEnd w:id="25"/>
      <w:bookmarkEnd w:id="26"/>
      <w:bookmarkEnd w:id="27"/>
    </w:p>
    <w:p>
      <w:pPr>
        <w:spacing w:line="360" w:lineRule="auto"/>
        <w:ind w:firstLine="424"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1、采购人信息及项目联系方式</w:t>
      </w:r>
    </w:p>
    <w:p>
      <w:pPr>
        <w:spacing w:line="353" w:lineRule="auto"/>
        <w:ind w:firstLine="424" w:firstLineChars="200"/>
        <w:rPr>
          <w:rFonts w:ascii="宋体" w:hAnsi="宋体" w:cs="宋体"/>
          <w:color w:val="000000" w:themeColor="text1"/>
          <w14:textFill>
            <w14:solidFill>
              <w14:schemeClr w14:val="tx1"/>
            </w14:solidFill>
          </w14:textFill>
        </w:rPr>
      </w:pPr>
      <w:bookmarkStart w:id="28" w:name="_Toc28359020"/>
      <w:bookmarkStart w:id="29" w:name="_Toc28359097"/>
      <w:bookmarkStart w:id="30" w:name="_Toc35393638"/>
      <w:bookmarkStart w:id="31" w:name="_Toc35393807"/>
      <w:r>
        <w:rPr>
          <w:rFonts w:hint="eastAsia" w:ascii="宋体" w:hAnsi="宋体" w:cs="宋体"/>
          <w:color w:val="000000" w:themeColor="text1"/>
          <w14:textFill>
            <w14:solidFill>
              <w14:schemeClr w14:val="tx1"/>
            </w14:solidFill>
          </w14:textFill>
        </w:rPr>
        <w:t xml:space="preserve">名    称：吉安市吉州区教育体育局 </w:t>
      </w:r>
    </w:p>
    <w:p>
      <w:pPr>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址：吉州区吉安北大道6号</w:t>
      </w:r>
    </w:p>
    <w:p>
      <w:pPr>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联系方式：0796-7054810</w:t>
      </w:r>
    </w:p>
    <w:p>
      <w:pPr>
        <w:spacing w:line="360" w:lineRule="auto"/>
        <w:ind w:firstLine="424"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2、采购代理机构信息</w:t>
      </w:r>
      <w:bookmarkEnd w:id="28"/>
      <w:bookmarkEnd w:id="29"/>
      <w:bookmarkEnd w:id="30"/>
      <w:bookmarkEnd w:id="31"/>
      <w:r>
        <w:rPr>
          <w:rFonts w:hint="eastAsia" w:ascii="宋体" w:hAnsi="宋体" w:cs="宋体"/>
          <w:b/>
          <w:bCs/>
          <w:color w:val="000000" w:themeColor="text1"/>
          <w14:textFill>
            <w14:solidFill>
              <w14:schemeClr w14:val="tx1"/>
            </w14:solidFill>
          </w14:textFill>
        </w:rPr>
        <w:t>及项目联系方式</w:t>
      </w:r>
    </w:p>
    <w:p>
      <w:pPr>
        <w:spacing w:line="360" w:lineRule="auto"/>
        <w:ind w:firstLine="424"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    称：江西安必信招标咨询有限公司</w:t>
      </w:r>
    </w:p>
    <w:p>
      <w:pPr>
        <w:spacing w:line="360" w:lineRule="auto"/>
        <w:ind w:firstLine="424"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址：江西省吉安市吉州区国隆花园里1栋1408室</w:t>
      </w:r>
    </w:p>
    <w:p>
      <w:pPr>
        <w:spacing w:line="360" w:lineRule="auto"/>
        <w:ind w:firstLine="424"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联系方式：魏先生  0796-8845888/13807032913</w:t>
      </w:r>
    </w:p>
    <w:p>
      <w:pPr>
        <w:spacing w:line="360" w:lineRule="auto"/>
        <w:ind w:firstLine="424" w:firstLineChars="200"/>
        <w:rPr>
          <w:rFonts w:ascii="宋体" w:hAnsi="宋体" w:cs="宋体"/>
          <w:color w:val="000000" w:themeColor="text1"/>
          <w14:textFill>
            <w14:solidFill>
              <w14:schemeClr w14:val="tx1"/>
            </w14:solidFill>
          </w14:textFill>
        </w:rPr>
      </w:pPr>
      <w:bookmarkStart w:id="32" w:name="_Toc28359021"/>
      <w:bookmarkStart w:id="33" w:name="_Toc28359098"/>
      <w:bookmarkStart w:id="34" w:name="_Toc35393639"/>
      <w:bookmarkStart w:id="35" w:name="_Toc35393808"/>
      <w:r>
        <w:rPr>
          <w:rFonts w:hint="eastAsia" w:ascii="宋体" w:hAnsi="宋体" w:cs="宋体"/>
          <w:color w:val="000000" w:themeColor="text1"/>
          <w14:textFill>
            <w14:solidFill>
              <w14:schemeClr w14:val="tx1"/>
            </w14:solidFill>
          </w14:textFill>
        </w:rPr>
        <w:t>E-mail：</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"mailto:3541362489@qq.com"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3541362489@qq.com</w:t>
      </w:r>
      <w:bookmarkEnd w:id="32"/>
      <w:bookmarkEnd w:id="33"/>
      <w:bookmarkEnd w:id="34"/>
      <w:bookmarkEnd w:id="35"/>
      <w:r>
        <w:rPr>
          <w:rFonts w:hint="eastAsia" w:ascii="宋体" w:hAnsi="宋体" w:cs="宋体"/>
          <w:color w:val="000000" w:themeColor="text1"/>
          <w14:textFill>
            <w14:solidFill>
              <w14:schemeClr w14:val="tx1"/>
            </w14:solidFill>
          </w14:textFill>
        </w:rPr>
        <w:fldChar w:fldCharType="end"/>
      </w:r>
    </w:p>
    <w:p>
      <w:pPr>
        <w:snapToGrid w:val="0"/>
        <w:spacing w:line="312" w:lineRule="auto"/>
        <w:ind w:firstLine="636" w:firstLineChars="300"/>
        <w:jc w:val="left"/>
        <w:rPr>
          <w:rFonts w:ascii="宋体" w:hAnsi="宋体" w:cs="宋体"/>
          <w:color w:val="000000" w:themeColor="text1"/>
          <w14:textFill>
            <w14:solidFill>
              <w14:schemeClr w14:val="tx1"/>
            </w14:solidFill>
          </w14:textFill>
        </w:rPr>
      </w:pPr>
    </w:p>
    <w:p>
      <w:pPr>
        <w:snapToGrid w:val="0"/>
        <w:spacing w:line="360" w:lineRule="auto"/>
        <w:ind w:firstLine="424" w:firstLineChars="200"/>
        <w:jc w:val="left"/>
        <w:rPr>
          <w:rFonts w:ascii="宋体" w:hAnsi="宋体" w:cs="宋体"/>
          <w:color w:val="000000" w:themeColor="text1"/>
          <w14:textFill>
            <w14:solidFill>
              <w14:schemeClr w14:val="tx1"/>
            </w14:solidFill>
          </w14:textFill>
        </w:rPr>
      </w:pP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p>
    <w:p>
      <w:pPr>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p>
      <w:pPr>
        <w:pStyle w:val="4"/>
        <w:numPr>
          <w:ilvl w:val="0"/>
          <w:numId w:val="1"/>
        </w:num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36" w:name="_Toc17981"/>
      <w:r>
        <w:rPr>
          <w:rFonts w:hint="eastAsia" w:ascii="宋体" w:hAnsi="宋体" w:cs="宋体"/>
          <w:color w:val="000000" w:themeColor="text1"/>
          <w14:textFill>
            <w14:solidFill>
              <w14:schemeClr w14:val="tx1"/>
            </w14:solidFill>
          </w14:textFill>
        </w:rPr>
        <w:t>招标文件前附表</w:t>
      </w:r>
      <w:bookmarkEnd w:id="36"/>
    </w:p>
    <w:tbl>
      <w:tblPr>
        <w:tblStyle w:val="24"/>
        <w:tblW w:w="0" w:type="auto"/>
        <w:jc w:val="center"/>
        <w:tblLayout w:type="fixed"/>
        <w:tblCellMar>
          <w:top w:w="0" w:type="dxa"/>
          <w:left w:w="108" w:type="dxa"/>
          <w:bottom w:w="0" w:type="dxa"/>
          <w:right w:w="108" w:type="dxa"/>
        </w:tblCellMar>
      </w:tblPr>
      <w:tblGrid>
        <w:gridCol w:w="697"/>
        <w:gridCol w:w="1680"/>
        <w:gridCol w:w="6694"/>
      </w:tblGrid>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360" w:lineRule="auto"/>
              <w:jc w:val="center"/>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360" w:lineRule="auto"/>
              <w:jc w:val="center"/>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条款名称</w:t>
            </w:r>
          </w:p>
        </w:tc>
        <w:tc>
          <w:tcPr>
            <w:tcW w:w="6694"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360" w:lineRule="auto"/>
              <w:jc w:val="center"/>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编列内容</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采购人</w:t>
            </w:r>
          </w:p>
        </w:tc>
        <w:tc>
          <w:tcPr>
            <w:tcW w:w="6694"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360" w:lineRule="auto"/>
              <w:rPr>
                <w:rFonts w:ascii="宋体" w:hAnsi="宋体" w:cs="宋体"/>
                <w:color w:val="000000" w:themeColor="text1"/>
                <w:szCs w:val="21"/>
                <w:lang w:val="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吉安市吉州区教育体育局</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2</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采购代理机构</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江西安必信招标咨询有限公司</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3</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bookmarkStart w:id="37" w:name="xmmc"/>
            <w:r>
              <w:rPr>
                <w:rFonts w:hint="eastAsia" w:ascii="宋体" w:hAnsi="宋体" w:cs="宋体"/>
                <w:color w:val="000000" w:themeColor="text1"/>
                <w:szCs w:val="21"/>
                <w14:textFill>
                  <w14:solidFill>
                    <w14:schemeClr w14:val="tx1"/>
                  </w14:solidFill>
                </w14:textFill>
              </w:rPr>
              <w:t xml:space="preserve">吉安市吉州区金樟职业教育园建设项目（一期）第三方工程质量检测服务项目 </w:t>
            </w:r>
            <w:bookmarkEnd w:id="37"/>
          </w:p>
        </w:tc>
      </w:tr>
      <w:tr>
        <w:tblPrEx>
          <w:tblCellMar>
            <w:top w:w="0" w:type="dxa"/>
            <w:left w:w="108" w:type="dxa"/>
            <w:bottom w:w="0" w:type="dxa"/>
            <w:right w:w="108" w:type="dxa"/>
          </w:tblCellMar>
        </w:tblPrEx>
        <w:trPr>
          <w:trHeight w:val="8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是否接受联合体投标</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bookmarkStart w:id="38" w:name="cr__506404001_"/>
            <w:r>
              <w:rPr>
                <w:rFonts w:hint="eastAsia" w:ascii="宋体" w:hAnsi="宋体" w:cs="宋体"/>
                <w:color w:val="000000" w:themeColor="text1"/>
                <w:szCs w:val="21"/>
                <w14:textFill>
                  <w14:solidFill>
                    <w14:schemeClr w14:val="tx1"/>
                  </w14:solidFill>
                </w14:textFill>
              </w:rPr>
              <w:t>☑ 不接受</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接受，应满足下列要求：</w:t>
            </w:r>
            <w:bookmarkEnd w:id="38"/>
          </w:p>
        </w:tc>
      </w:tr>
      <w:tr>
        <w:tblPrEx>
          <w:tblCellMar>
            <w:top w:w="0" w:type="dxa"/>
            <w:left w:w="108" w:type="dxa"/>
            <w:bottom w:w="0" w:type="dxa"/>
            <w:right w:w="108" w:type="dxa"/>
          </w:tblCellMar>
        </w:tblPrEx>
        <w:trPr>
          <w:trHeight w:val="41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投标有效期</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自投标截止之日起</w:t>
            </w:r>
            <w:bookmarkStart w:id="39" w:name="v__TBYXQ_"/>
            <w:r>
              <w:rPr>
                <w:rFonts w:hint="eastAsia" w:ascii="宋体" w:hAnsi="宋体" w:cs="宋体"/>
                <w:color w:val="000000" w:themeColor="text1"/>
                <w:szCs w:val="21"/>
                <w:u w:val="single"/>
                <w14:textFill>
                  <w14:solidFill>
                    <w14:schemeClr w14:val="tx1"/>
                  </w14:solidFill>
                </w14:textFill>
              </w:rPr>
              <w:t xml:space="preserve"> 90  </w:t>
            </w:r>
            <w:bookmarkEnd w:id="39"/>
            <w:r>
              <w:rPr>
                <w:rFonts w:hint="eastAsia" w:ascii="宋体" w:hAnsi="宋体" w:cs="宋体"/>
                <w:color w:val="000000" w:themeColor="text1"/>
                <w:szCs w:val="21"/>
                <w14:textFill>
                  <w14:solidFill>
                    <w14:schemeClr w14:val="tx1"/>
                  </w14:solidFill>
                </w14:textFill>
              </w:rPr>
              <w:t>个日历天。</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踏勘现场</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不组织</w:t>
            </w:r>
          </w:p>
          <w:p>
            <w:pPr>
              <w:spacing w:line="360" w:lineRule="auto"/>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组织，</w:t>
            </w:r>
            <w:r>
              <w:rPr>
                <w:rFonts w:hint="eastAsia" w:ascii="宋体" w:hAnsi="宋体" w:cs="宋体"/>
                <w:color w:val="000000" w:themeColor="text1"/>
                <w:szCs w:val="21"/>
                <w:lang w:val="zh-CN"/>
                <w14:textFill>
                  <w14:solidFill>
                    <w14:schemeClr w14:val="tx1"/>
                  </w14:solidFill>
                </w14:textFill>
              </w:rPr>
              <w:t>踏勘现场安排</w:t>
            </w:r>
            <w:r>
              <w:rPr>
                <w:rFonts w:hint="eastAsia" w:ascii="宋体" w:hAnsi="宋体" w:cs="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履约保证金</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不需要（根据吉区财【2022】41号文件相关规定，本项目不收取履约保证金）</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需要</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履约保证金：中标金额的3%（中标人向采购人提交的履约保证金须以支票、汇票、本票或者金融机构出具的保函等非现金形式提交），项目完成经验收合格后无息退还。</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不要求提供；</w:t>
            </w:r>
            <w:r>
              <w:rPr>
                <w:rFonts w:hint="eastAsia" w:ascii="宋体" w:hAnsi="宋体" w:cs="宋体"/>
                <w:color w:val="000000" w:themeColor="text1"/>
                <w:szCs w:val="21"/>
                <w14:textFill>
                  <w14:solidFill>
                    <w14:schemeClr w14:val="tx1"/>
                  </w14:solidFill>
                </w14:textFill>
              </w:rPr>
              <w:t>根据吉区财〔2022〕41号文的要求，考虑到本项目专门面向中小企业采购，为了减轻企业负担，本项目不收取磋商保证金，请各服务商诚信投标，如在评标及后续过程中发现造假、违约等违规行为的，将依法依规作出行政处罚。</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招标文件获取时间方式</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详见“第一章 招标公告”。</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招标文件的澄清和修改</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招标文件的澄清和修改内容</w:t>
            </w:r>
            <w:r>
              <w:rPr>
                <w:rFonts w:hint="eastAsia" w:ascii="宋体" w:hAnsi="宋体" w:cs="宋体"/>
                <w:color w:val="000000" w:themeColor="text1"/>
                <w:kern w:val="1"/>
                <w:szCs w:val="21"/>
                <w14:textFill>
                  <w14:solidFill>
                    <w14:schemeClr w14:val="tx1"/>
                  </w14:solidFill>
                </w14:textFill>
              </w:rPr>
              <w:t>详见江西省公共资源交易网，</w:t>
            </w:r>
            <w:r>
              <w:rPr>
                <w:rFonts w:hint="eastAsia" w:ascii="宋体" w:hAnsi="宋体" w:cs="宋体"/>
                <w:color w:val="000000" w:themeColor="text1"/>
                <w:szCs w:val="21"/>
                <w14:textFill>
                  <w14:solidFill>
                    <w14:schemeClr w14:val="tx1"/>
                  </w14:solidFill>
                </w14:textFill>
              </w:rPr>
              <w:t>投标人应密切关注网站的最新澄清信息，澄清和修改一经发布，视为投标人已收到。</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投标人在开标前上传电子投标文件到指定网站。（中标人在领取中标通知书的同时须提供与电子投标文件一致的纸质标书壹正叁副，并加盖单位公章和法定代表人印章）</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投标截止时间</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1"/>
                <w:szCs w:val="21"/>
                <w14:textFill>
                  <w14:solidFill>
                    <w14:schemeClr w14:val="tx1"/>
                  </w14:solidFill>
                </w14:textFill>
              </w:rPr>
              <w:t>时间：</w:t>
            </w:r>
            <w:r>
              <w:rPr>
                <w:rFonts w:hint="eastAsia" w:ascii="宋体" w:hAnsi="宋体" w:cs="宋体"/>
                <w:bCs/>
                <w:color w:val="000000" w:themeColor="text1"/>
                <w:szCs w:val="21"/>
                <w:lang w:eastAsia="zh-CN"/>
                <w14:textFill>
                  <w14:solidFill>
                    <w14:schemeClr w14:val="tx1"/>
                  </w14:solidFill>
                </w14:textFill>
              </w:rPr>
              <w:t>2023年8月29日9点00分</w:t>
            </w:r>
            <w:r>
              <w:rPr>
                <w:rFonts w:hint="eastAsia" w:ascii="宋体" w:hAnsi="宋体" w:cs="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招标文件的质疑</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000000" w:themeColor="text1"/>
                <w:kern w:val="1"/>
                <w:szCs w:val="21"/>
                <w14:textFill>
                  <w14:solidFill>
                    <w14:schemeClr w14:val="tx1"/>
                  </w14:solidFill>
                </w14:textFill>
              </w:rPr>
            </w:pPr>
            <w:r>
              <w:rPr>
                <w:rFonts w:hint="eastAsia" w:ascii="宋体" w:hAnsi="宋体" w:cs="宋体"/>
                <w:color w:val="000000" w:themeColor="text1"/>
                <w:kern w:val="1"/>
                <w:szCs w:val="21"/>
                <w14:textFill>
                  <w14:solidFill>
                    <w14:schemeClr w14:val="tx1"/>
                  </w14:solidFill>
                </w14:textFill>
              </w:rPr>
              <w:t>投标人报名并获取招标文件之日起7个工作日内提出。</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投标文件编制</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投标人使用“新点投标文件制作软件（江西版）”编制电子投标文件。</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开标时间及开标地点</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kern w:val="1"/>
                <w:szCs w:val="21"/>
                <w14:textFill>
                  <w14:solidFill>
                    <w14:schemeClr w14:val="tx1"/>
                  </w14:solidFill>
                </w14:textFill>
              </w:rPr>
            </w:pPr>
            <w:r>
              <w:rPr>
                <w:rFonts w:hint="eastAsia" w:ascii="宋体" w:hAnsi="宋体" w:cs="宋体"/>
                <w:color w:val="000000" w:themeColor="text1"/>
                <w:kern w:val="1"/>
                <w:szCs w:val="21"/>
                <w14:textFill>
                  <w14:solidFill>
                    <w14:schemeClr w14:val="tx1"/>
                  </w14:solidFill>
                </w14:textFill>
              </w:rPr>
              <w:t>时间：</w:t>
            </w:r>
            <w:r>
              <w:rPr>
                <w:rFonts w:hint="eastAsia" w:ascii="宋体" w:hAnsi="宋体" w:cs="宋体"/>
                <w:bCs/>
                <w:color w:val="000000" w:themeColor="text1"/>
                <w:szCs w:val="21"/>
                <w:lang w:eastAsia="zh-CN"/>
                <w14:textFill>
                  <w14:solidFill>
                    <w14:schemeClr w14:val="tx1"/>
                  </w14:solidFill>
                </w14:textFill>
              </w:rPr>
              <w:t>2023年8月29日9点00分</w:t>
            </w:r>
            <w:r>
              <w:rPr>
                <w:rFonts w:hint="eastAsia" w:ascii="宋体" w:hAnsi="宋体" w:cs="宋体"/>
                <w:color w:val="000000" w:themeColor="text1"/>
                <w:szCs w:val="21"/>
                <w14:textFill>
                  <w14:solidFill>
                    <w14:schemeClr w14:val="tx1"/>
                  </w14:solidFill>
                </w14:textFill>
              </w:rPr>
              <w:t>。</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1"/>
                <w:szCs w:val="21"/>
                <w14:textFill>
                  <w14:solidFill>
                    <w14:schemeClr w14:val="tx1"/>
                  </w14:solidFill>
                </w14:textFill>
              </w:rPr>
              <w:t>地点：</w:t>
            </w:r>
            <w:r>
              <w:rPr>
                <w:rFonts w:hint="eastAsia" w:ascii="宋体" w:hAnsi="宋体" w:cs="宋体"/>
                <w:color w:val="000000" w:themeColor="text1"/>
                <w:szCs w:val="21"/>
                <w14:textFill>
                  <w14:solidFill>
                    <w14:schemeClr w14:val="tx1"/>
                  </w14:solidFill>
                </w14:textFill>
              </w:rPr>
              <w:t>吉安市公共资源交易中心（城南文体路与吉州大道交叉路市民服务中心）</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落实政府采购政策需满足的资格要求</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本项目为服务类，专门面向中小企业采购，承接本项目的投标人应是中小微企业，含监狱和戒毒企业、残疾人福利性单位；投标人应为符合《中小企业划型标准规定》（工信部联企业〔2011〕300号）的中小企业，并提供中小微企业声明函，未提供或提供不符合要求做无效标处理。</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评标方法</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☑综合评分法</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□最低评标价法</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代理服务费</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中标人向采购代理机构支付代理服务费人民币贰万贰仟元整（不含税），请各投标人在报价时充分考虑这一因素，中标人在领取《中标通知书》时支付。</w:t>
            </w:r>
          </w:p>
        </w:tc>
      </w:tr>
      <w:tr>
        <w:tblPrEx>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政府采购合同 信用融资</w:t>
            </w:r>
          </w:p>
        </w:tc>
        <w:tc>
          <w:tcPr>
            <w:tcW w:w="669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本次政府采购项目的成交施工商，可持政府采购合同向金融机构申请贷款，无须抵押、担保、融资机构将根据《关于开展政府采购合同融资工作的通知》（吉区财〔2022〕121号）、（吉区财〔2023〕30号）、</w:t>
            </w:r>
          </w:p>
          <w:p>
            <w:pPr>
              <w:spacing w:line="360" w:lineRule="auto"/>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按照双方自愿的原则提供便捷、优惠的贷款服务。</w:t>
            </w: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numPr>
          <w:ilvl w:val="0"/>
          <w:numId w:val="1"/>
        </w:numPr>
        <w:rPr>
          <w:rFonts w:ascii="宋体" w:hAnsi="宋体" w:cs="宋体"/>
          <w:color w:val="000000" w:themeColor="text1"/>
          <w14:textFill>
            <w14:solidFill>
              <w14:schemeClr w14:val="tx1"/>
            </w14:solidFill>
          </w14:textFill>
        </w:rPr>
      </w:pPr>
      <w:bookmarkStart w:id="40" w:name="_Toc17461"/>
      <w:r>
        <w:rPr>
          <w:rFonts w:hint="eastAsia" w:ascii="宋体" w:hAnsi="宋体" w:cs="宋体"/>
          <w:color w:val="000000" w:themeColor="text1"/>
          <w14:textFill>
            <w14:solidFill>
              <w14:schemeClr w14:val="tx1"/>
            </w14:solidFill>
          </w14:textFill>
        </w:rPr>
        <w:t>投标人须知</w:t>
      </w:r>
      <w:bookmarkEnd w:id="40"/>
    </w:p>
    <w:p>
      <w:pPr>
        <w:adjustRightInd w:val="0"/>
        <w:snapToGrid w:val="0"/>
        <w:spacing w:line="360" w:lineRule="auto"/>
        <w:jc w:val="center"/>
        <w:rPr>
          <w:rFonts w:ascii="宋体" w:hAnsi="宋体" w:cs="宋体"/>
          <w:b/>
          <w:color w:val="000000" w:themeColor="text1"/>
          <w:sz w:val="24"/>
          <w14:textFill>
            <w14:solidFill>
              <w14:schemeClr w14:val="tx1"/>
            </w14:solidFill>
          </w14:textFill>
        </w:rPr>
      </w:pPr>
    </w:p>
    <w:p>
      <w:pPr>
        <w:adjustRightInd w:val="0"/>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一、说明</w:t>
      </w:r>
    </w:p>
    <w:p>
      <w:pPr>
        <w:adjustRightInd w:val="0"/>
        <w:snapToGrid w:val="0"/>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1.适用范围</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1.1本招标文件仅适用于第二章“招标文件前附表” (以下简称</w:t>
      </w:r>
      <w:r>
        <w:rPr>
          <w:rFonts w:hint="eastAsia" w:ascii="宋体" w:hAnsi="宋体" w:cs="宋体"/>
          <w:b/>
          <w:color w:val="000000" w:themeColor="text1"/>
          <w:szCs w:val="21"/>
          <w14:textFill>
            <w14:solidFill>
              <w14:schemeClr w14:val="tx1"/>
            </w14:solidFill>
          </w14:textFill>
        </w:rPr>
        <w:t>招标文件前附表</w:t>
      </w:r>
      <w:r>
        <w:rPr>
          <w:rFonts w:hint="eastAsia" w:ascii="宋体" w:hAnsi="宋体" w:cs="宋体"/>
          <w:color w:val="000000" w:themeColor="text1"/>
          <w:szCs w:val="21"/>
          <w14:textFill>
            <w14:solidFill>
              <w14:schemeClr w14:val="tx1"/>
            </w14:solidFill>
          </w14:textFill>
        </w:rPr>
        <w:t>)中所叙述的采购项目。</w:t>
      </w:r>
    </w:p>
    <w:p>
      <w:pPr>
        <w:adjustRightInd w:val="0"/>
        <w:snapToGrid w:val="0"/>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2.定义</w:t>
      </w:r>
    </w:p>
    <w:p>
      <w:pPr>
        <w:adjustRightInd w:val="0"/>
        <w:snapToGrid w:val="0"/>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 “采购人”系指依法进行政府采购的国家机关、事业单位、团体组织。</w:t>
      </w:r>
    </w:p>
    <w:p>
      <w:pPr>
        <w:adjustRightInd w:val="0"/>
        <w:snapToGrid w:val="0"/>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“采购代理机构”系指接受采购人委托，代理采购项目的集中采购机构和经财政部门认定资格的其他采购代理机构。</w:t>
      </w:r>
    </w:p>
    <w:p>
      <w:pPr>
        <w:adjustRightInd w:val="0"/>
        <w:snapToGrid w:val="0"/>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 “投标人”系指响应招标、参加投标竞争的法人、其他组织或自然人。</w:t>
      </w:r>
    </w:p>
    <w:p>
      <w:pPr>
        <w:adjustRightInd w:val="0"/>
        <w:snapToGrid w:val="0"/>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 “货物”系指投标人按招标文件要求,向采购人提供的各种形态和种类的物品，包括原材料、设备、产品(包括软件)及其相关的备品备件、工具、手册及其它技术资料和材料。</w:t>
      </w:r>
    </w:p>
    <w:p>
      <w:pPr>
        <w:adjustRightInd w:val="0"/>
        <w:snapToGrid w:val="0"/>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 “服务”系指招标文件规定投标人须承担的系统集成、安装、调试、技术协助、校准、培训以及其它类似的义务。</w:t>
      </w:r>
    </w:p>
    <w:p>
      <w:pPr>
        <w:adjustRightInd w:val="0"/>
        <w:snapToGrid w:val="0"/>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3.投标人的资格要求</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3.1投标人应当符合</w:t>
      </w:r>
      <w:r>
        <w:rPr>
          <w:rFonts w:hint="eastAsia" w:ascii="宋体" w:hAnsi="宋体" w:cs="宋体"/>
          <w:b/>
          <w:color w:val="000000" w:themeColor="text1"/>
          <w:szCs w:val="21"/>
          <w14:textFill>
            <w14:solidFill>
              <w14:schemeClr w14:val="tx1"/>
            </w14:solidFill>
          </w14:textFill>
        </w:rPr>
        <w:t>招标公告</w:t>
      </w:r>
      <w:r>
        <w:rPr>
          <w:rFonts w:hint="eastAsia" w:ascii="宋体" w:hAnsi="宋体" w:cs="宋体"/>
          <w:color w:val="000000" w:themeColor="text1"/>
          <w:szCs w:val="21"/>
          <w14:textFill>
            <w14:solidFill>
              <w14:schemeClr w14:val="tx1"/>
            </w14:solidFill>
          </w14:textFill>
        </w:rPr>
        <w:t>中规定的下列资格条件要求；</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（l）</w:t>
      </w:r>
      <w:r>
        <w:rPr>
          <w:rFonts w:hint="eastAsia" w:ascii="宋体" w:hAnsi="宋体" w:cs="宋体"/>
          <w:color w:val="000000" w:themeColor="text1"/>
          <w:kern w:val="0"/>
          <w:szCs w:val="21"/>
          <w:lang w:val="zh-CN"/>
          <w14:textFill>
            <w14:solidFill>
              <w14:schemeClr w14:val="tx1"/>
            </w14:solidFill>
          </w14:textFill>
        </w:rPr>
        <w:t>《政府采购法》第二十二条第一款规定的</w:t>
      </w:r>
      <w:r>
        <w:rPr>
          <w:rFonts w:hint="eastAsia" w:ascii="宋体" w:hAnsi="宋体" w:cs="宋体"/>
          <w:color w:val="000000" w:themeColor="text1"/>
          <w:szCs w:val="21"/>
          <w14:textFill>
            <w14:solidFill>
              <w14:schemeClr w14:val="tx1"/>
            </w14:solidFill>
          </w14:textFill>
        </w:rPr>
        <w:t>投标人基本资格条件</w:t>
      </w:r>
      <w:r>
        <w:rPr>
          <w:rFonts w:hint="eastAsia" w:ascii="宋体" w:hAnsi="宋体" w:cs="宋体"/>
          <w:color w:val="000000" w:themeColor="text1"/>
          <w:kern w:val="0"/>
          <w:szCs w:val="21"/>
          <w:lang w:val="zh-CN"/>
          <w14:textFill>
            <w14:solidFill>
              <w14:schemeClr w14:val="tx1"/>
            </w14:solidFill>
          </w14:textFill>
        </w:rPr>
        <w:t>；</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（2）采购项目有特殊要求，招标文件</w:t>
      </w:r>
      <w:r>
        <w:rPr>
          <w:rFonts w:hint="eastAsia" w:ascii="宋体" w:hAnsi="宋体" w:cs="宋体"/>
          <w:color w:val="000000" w:themeColor="text1"/>
          <w:kern w:val="0"/>
          <w:szCs w:val="21"/>
          <w:lang w:val="zh-CN"/>
          <w14:textFill>
            <w14:solidFill>
              <w14:schemeClr w14:val="tx1"/>
            </w14:solidFill>
          </w14:textFill>
        </w:rPr>
        <w:t>规定的</w:t>
      </w:r>
      <w:r>
        <w:rPr>
          <w:rFonts w:hint="eastAsia" w:ascii="宋体" w:hAnsi="宋体" w:cs="宋体"/>
          <w:color w:val="000000" w:themeColor="text1"/>
          <w:szCs w:val="21"/>
          <w14:textFill>
            <w14:solidFill>
              <w14:schemeClr w14:val="tx1"/>
            </w14:solidFill>
          </w14:textFill>
        </w:rPr>
        <w:t>投标人特定条件。</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3.2投标人不得存在下列情形之一：</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（l）与采购人或采购代理机构存在</w:t>
      </w:r>
      <w:r>
        <w:rPr>
          <w:rFonts w:hint="eastAsia" w:ascii="宋体" w:hAnsi="宋体" w:cs="宋体"/>
          <w:bCs/>
          <w:color w:val="000000" w:themeColor="text1"/>
          <w:szCs w:val="21"/>
          <w14:textFill>
            <w14:solidFill>
              <w14:schemeClr w14:val="tx1"/>
            </w14:solidFill>
          </w14:textFill>
        </w:rPr>
        <w:t>隶属关系或者其他利害关系</w:t>
      </w:r>
      <w:r>
        <w:rPr>
          <w:rFonts w:hint="eastAsia" w:ascii="宋体" w:hAnsi="宋体" w:cs="宋体"/>
          <w:color w:val="000000" w:themeColor="text1"/>
          <w:szCs w:val="21"/>
          <w14:textFill>
            <w14:solidFill>
              <w14:schemeClr w14:val="tx1"/>
            </w14:solidFill>
          </w14:textFill>
        </w:rPr>
        <w:t>。</w:t>
      </w:r>
    </w:p>
    <w:p>
      <w:pPr>
        <w:widowControl/>
        <w:adjustRightInd w:val="0"/>
        <w:snapToGrid w:val="0"/>
        <w:spacing w:line="360" w:lineRule="auto"/>
        <w:ind w:firstLine="42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zh-CN"/>
          <w14:textFill>
            <w14:solidFill>
              <w14:schemeClr w14:val="tx1"/>
            </w14:solidFill>
          </w14:textFill>
        </w:rPr>
        <w:t>）参加采购活动前三年内在经营活动中存在政府采购法第二十二条第一款第（五）项所称重大违法记录，重大违法记录是指投标人因违法经营受到刑事处罚或者责令停产停业、吊销许可证或者执照、较大罚款等行政处罚。</w:t>
      </w:r>
    </w:p>
    <w:p>
      <w:pPr>
        <w:widowControl/>
        <w:adjustRightInd w:val="0"/>
        <w:snapToGrid w:val="0"/>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3.3法定代表人或者负责人为同一人或者存在控股、管理关系的两个以上投标人，不得参加同一政府采购项目投标。</w:t>
      </w:r>
    </w:p>
    <w:p>
      <w:pPr>
        <w:adjustRightInd w:val="0"/>
        <w:snapToGrid w:val="0"/>
        <w:spacing w:line="360" w:lineRule="auto"/>
        <w:ind w:left="641" w:hanging="636" w:hangingChars="3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4.投标费用</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4.1投标人应自行承担所有参与投标的相关费用，不论投标的结果如何，采购人或者采购代理机构均无义务和责任承担任何费用。</w:t>
      </w:r>
    </w:p>
    <w:p>
      <w:pPr>
        <w:pStyle w:val="14"/>
        <w:adjustRightInd w:val="0"/>
        <w:snapToGrid w:val="0"/>
        <w:spacing w:line="360" w:lineRule="auto"/>
        <w:rPr>
          <w:rFonts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5.</w:t>
      </w:r>
      <w:r>
        <w:rPr>
          <w:rFonts w:hint="eastAsia" w:hAnsi="宋体" w:cs="宋体"/>
          <w:b/>
          <w:color w:val="000000" w:themeColor="text1"/>
          <w14:textFill>
            <w14:solidFill>
              <w14:schemeClr w14:val="tx1"/>
            </w14:solidFill>
          </w14:textFill>
        </w:rPr>
        <w:t>授权委托</w:t>
      </w:r>
    </w:p>
    <w:p>
      <w:pPr>
        <w:pStyle w:val="14"/>
        <w:adjustRightInd w:val="0"/>
        <w:snapToGrid w:val="0"/>
        <w:spacing w:line="360" w:lineRule="auto"/>
        <w:ind w:firstLine="424" w:firstLineChars="200"/>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5.1 投标人代表不是投标人的法定代表人，需将法人授权委托书（法人参与投标的无需提供授权委托书）、本人身份证的证明材料原件扫描制作到投标文件中。</w:t>
      </w:r>
    </w:p>
    <w:p>
      <w:pPr>
        <w:pStyle w:val="14"/>
        <w:adjustRightInd w:val="0"/>
        <w:snapToGrid w:val="0"/>
        <w:spacing w:line="360" w:lineRule="auto"/>
        <w:rPr>
          <w:rFonts w:hAnsi="宋体" w:cs="宋体"/>
          <w:b/>
          <w:bCs/>
          <w:color w:val="000000" w:themeColor="text1"/>
          <w:kern w:val="2"/>
          <w:sz w:val="21"/>
          <w14:textFill>
            <w14:solidFill>
              <w14:schemeClr w14:val="tx1"/>
            </w14:solidFill>
          </w14:textFill>
        </w:rPr>
      </w:pPr>
      <w:r>
        <w:rPr>
          <w:rFonts w:hint="eastAsia" w:hAnsi="宋体" w:cs="宋体"/>
          <w:b/>
          <w:bCs/>
          <w:color w:val="000000" w:themeColor="text1"/>
          <w:kern w:val="2"/>
          <w:sz w:val="21"/>
          <w14:textFill>
            <w14:solidFill>
              <w14:schemeClr w14:val="tx1"/>
            </w14:solidFill>
          </w14:textFill>
        </w:rPr>
        <w:t>6．联合体投标</w:t>
      </w:r>
    </w:p>
    <w:p>
      <w:pPr>
        <w:pStyle w:val="14"/>
        <w:adjustRightInd w:val="0"/>
        <w:snapToGrid w:val="0"/>
        <w:spacing w:line="360" w:lineRule="auto"/>
        <w:ind w:firstLine="424"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6.1除</w:t>
      </w:r>
      <w:r>
        <w:rPr>
          <w:rFonts w:hint="eastAsia" w:hAnsi="宋体" w:cs="宋体"/>
          <w:b/>
          <w:color w:val="000000" w:themeColor="text1"/>
          <w:sz w:val="21"/>
          <w14:textFill>
            <w14:solidFill>
              <w14:schemeClr w14:val="tx1"/>
            </w14:solidFill>
          </w14:textFill>
        </w:rPr>
        <w:t>招标文件前附表</w:t>
      </w:r>
      <w:r>
        <w:rPr>
          <w:rFonts w:hint="eastAsia" w:hAnsi="宋体" w:cs="宋体"/>
          <w:color w:val="000000" w:themeColor="text1"/>
          <w:sz w:val="21"/>
          <w14:textFill>
            <w14:solidFill>
              <w14:schemeClr w14:val="tx1"/>
            </w14:solidFill>
          </w14:textFill>
        </w:rPr>
        <w:t>另有规定，本采购项目不接受除</w:t>
      </w:r>
      <w:r>
        <w:rPr>
          <w:rFonts w:hint="eastAsia" w:hAnsi="宋体" w:cs="宋体"/>
          <w:color w:val="000000" w:themeColor="text1"/>
          <w:sz w:val="21"/>
          <w:lang w:val="zh-CN"/>
          <w14:textFill>
            <w14:solidFill>
              <w14:schemeClr w14:val="tx1"/>
            </w14:solidFill>
          </w14:textFill>
        </w:rPr>
        <w:t>政府采购政策规定</w:t>
      </w:r>
      <w:r>
        <w:rPr>
          <w:rFonts w:hint="eastAsia" w:hAnsi="宋体" w:cs="宋体"/>
          <w:color w:val="000000" w:themeColor="text1"/>
          <w:spacing w:val="-6"/>
          <w:sz w:val="21"/>
          <w14:textFill>
            <w14:solidFill>
              <w14:schemeClr w14:val="tx1"/>
            </w14:solidFill>
          </w14:textFill>
        </w:rPr>
        <w:t>以外的其他</w:t>
      </w:r>
      <w:r>
        <w:rPr>
          <w:rFonts w:hint="eastAsia" w:hAnsi="宋体" w:cs="宋体"/>
          <w:color w:val="000000" w:themeColor="text1"/>
          <w:sz w:val="21"/>
          <w14:textFill>
            <w14:solidFill>
              <w14:schemeClr w14:val="tx1"/>
            </w14:solidFill>
          </w14:textFill>
        </w:rPr>
        <w:t>联合体投标。</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6.2本章第6.1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规定投标人以联合体形式投标，除应符合本章第3.2</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、第3.3</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规定外，还应遵守以下规定：</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（l）联合体各方应签订联合体协议书，明确联合体牵头人和各方的权利义务、合同工作量比例；</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（2）联合体各方均应当符合本章第3.1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规定的投标人基本资格条件；</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（3）联合体各方中至少应当有一方符合本章第3.1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规定的投标人特定条件；</w:t>
      </w:r>
    </w:p>
    <w:p>
      <w:pPr>
        <w:adjustRightInd w:val="0"/>
        <w:snapToGrid w:val="0"/>
        <w:spacing w:line="360" w:lineRule="auto"/>
        <w:ind w:firstLine="424" w:firstLineChars="200"/>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（4）联合体各方签订联合体协议书后，</w:t>
      </w:r>
      <w:r>
        <w:rPr>
          <w:rFonts w:hint="eastAsia" w:ascii="宋体" w:hAnsi="宋体" w:cs="宋体"/>
          <w:color w:val="000000" w:themeColor="text1"/>
          <w:kern w:val="0"/>
          <w:szCs w:val="21"/>
          <w:lang w:val="zh-CN"/>
          <w14:textFill>
            <w14:solidFill>
              <w14:schemeClr w14:val="tx1"/>
            </w14:solidFill>
          </w14:textFill>
        </w:rPr>
        <w:t>不得再单独参加或者与其他投标人组成新的联合体参加同一项目的采购活动。</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（5）联合体</w:t>
      </w:r>
      <w:r>
        <w:rPr>
          <w:rFonts w:hint="eastAsia" w:ascii="宋体" w:hAnsi="宋体" w:cs="宋体"/>
          <w:color w:val="000000" w:themeColor="text1"/>
          <w:kern w:val="0"/>
          <w:szCs w:val="21"/>
          <w14:textFill>
            <w14:solidFill>
              <w14:schemeClr w14:val="tx1"/>
            </w14:solidFill>
          </w14:textFill>
        </w:rPr>
        <w:t>牵头方</w:t>
      </w:r>
      <w:r>
        <w:rPr>
          <w:rFonts w:hint="eastAsia" w:ascii="宋体" w:hAnsi="宋体" w:cs="宋体"/>
          <w:color w:val="000000" w:themeColor="text1"/>
          <w:szCs w:val="21"/>
          <w14:textFill>
            <w14:solidFill>
              <w14:schemeClr w14:val="tx1"/>
            </w14:solidFill>
          </w14:textFill>
        </w:rPr>
        <w:t>应当符合本章第3.1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规定的投标人资格条件。</w:t>
      </w:r>
    </w:p>
    <w:p>
      <w:pPr>
        <w:adjustRightInd w:val="0"/>
        <w:snapToGrid w:val="0"/>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7.采购进口产品</w:t>
      </w:r>
    </w:p>
    <w:p>
      <w:pPr>
        <w:adjustRightInd w:val="0"/>
        <w:snapToGrid w:val="0"/>
        <w:spacing w:line="360" w:lineRule="auto"/>
        <w:ind w:firstLine="424"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7.1除</w:t>
      </w:r>
      <w:r>
        <w:rPr>
          <w:rFonts w:hint="eastAsia" w:ascii="宋体" w:hAnsi="宋体" w:cs="宋体"/>
          <w:b/>
          <w:color w:val="000000" w:themeColor="text1"/>
          <w:szCs w:val="21"/>
          <w14:textFill>
            <w14:solidFill>
              <w14:schemeClr w14:val="tx1"/>
            </w14:solidFill>
          </w14:textFill>
        </w:rPr>
        <w:t>招标文件前附表</w:t>
      </w:r>
      <w:r>
        <w:rPr>
          <w:rFonts w:hint="eastAsia" w:ascii="宋体" w:hAnsi="宋体" w:cs="宋体"/>
          <w:color w:val="000000" w:themeColor="text1"/>
          <w:szCs w:val="21"/>
          <w14:textFill>
            <w14:solidFill>
              <w14:schemeClr w14:val="tx1"/>
            </w14:solidFill>
          </w14:textFill>
        </w:rPr>
        <w:t>另有规定外，本采购项目</w:t>
      </w:r>
      <w:r>
        <w:rPr>
          <w:rFonts w:hint="eastAsia" w:ascii="宋体" w:hAnsi="宋体" w:cs="宋体"/>
          <w:color w:val="000000" w:themeColor="text1"/>
          <w:kern w:val="0"/>
          <w:szCs w:val="21"/>
          <w14:textFill>
            <w14:solidFill>
              <w14:schemeClr w14:val="tx1"/>
            </w14:solidFill>
          </w14:textFill>
        </w:rPr>
        <w:t>拒绝进口产品参加投标。</w:t>
      </w:r>
    </w:p>
    <w:p>
      <w:pPr>
        <w:adjustRightInd w:val="0"/>
        <w:snapToGrid w:val="0"/>
        <w:spacing w:line="360" w:lineRule="auto"/>
        <w:ind w:firstLine="424"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7.2</w:t>
      </w:r>
      <w:r>
        <w:rPr>
          <w:rFonts w:hint="eastAsia" w:ascii="宋体" w:hAnsi="宋体" w:cs="宋体"/>
          <w:color w:val="000000" w:themeColor="text1"/>
          <w:szCs w:val="21"/>
          <w14:textFill>
            <w14:solidFill>
              <w14:schemeClr w14:val="tx1"/>
            </w14:solidFill>
          </w14:textFill>
        </w:rPr>
        <w:t>本章第7.1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w:t>
      </w:r>
      <w:r>
        <w:rPr>
          <w:rFonts w:hint="eastAsia" w:ascii="宋体" w:hAnsi="宋体" w:cs="宋体"/>
          <w:color w:val="000000" w:themeColor="text1"/>
          <w:kern w:val="0"/>
          <w:szCs w:val="21"/>
          <w14:textFill>
            <w14:solidFill>
              <w14:schemeClr w14:val="tx1"/>
            </w14:solidFill>
          </w14:textFill>
        </w:rPr>
        <w:t>同意购买进口产品的，不限制满足</w:t>
      </w:r>
      <w:r>
        <w:rPr>
          <w:rFonts w:hint="eastAsia" w:ascii="宋体" w:hAnsi="宋体" w:cs="宋体"/>
          <w:color w:val="000000" w:themeColor="text1"/>
          <w:szCs w:val="21"/>
          <w14:textFill>
            <w14:solidFill>
              <w14:schemeClr w14:val="tx1"/>
            </w14:solidFill>
          </w14:textFill>
        </w:rPr>
        <w:t>招标文件要求</w:t>
      </w:r>
      <w:r>
        <w:rPr>
          <w:rFonts w:hint="eastAsia" w:ascii="宋体" w:hAnsi="宋体" w:cs="宋体"/>
          <w:color w:val="000000" w:themeColor="text1"/>
          <w:kern w:val="0"/>
          <w:szCs w:val="21"/>
          <w14:textFill>
            <w14:solidFill>
              <w14:schemeClr w14:val="tx1"/>
            </w14:solidFill>
          </w14:textFill>
        </w:rPr>
        <w:t>的国内产品参与投标竞争。</w:t>
      </w:r>
    </w:p>
    <w:p>
      <w:pPr>
        <w:pStyle w:val="3"/>
        <w:spacing w:line="360" w:lineRule="auto"/>
        <w:rPr>
          <w:rFonts w:hAnsi="宋体"/>
          <w:color w:val="000000" w:themeColor="text1"/>
          <w14:textFill>
            <w14:solidFill>
              <w14:schemeClr w14:val="tx1"/>
            </w14:solidFill>
          </w14:textFill>
        </w:rPr>
      </w:pPr>
    </w:p>
    <w:p>
      <w:pPr>
        <w:adjustRightInd w:val="0"/>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二、招标文件</w:t>
      </w:r>
    </w:p>
    <w:p>
      <w:pPr>
        <w:adjustRightInd w:val="0"/>
        <w:snapToGrid w:val="0"/>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8.招标文件的构成</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 招标文件的内容如下：</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第一章 投标公告</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第二章 招标文件前附表</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第三章 投标须知</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第四章 评标方法及标准</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第五章 合同条款及格式</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第六章 投标文件的组成</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第七章 采购需求</w:t>
      </w:r>
    </w:p>
    <w:p>
      <w:pPr>
        <w:adjustRightInd w:val="0"/>
        <w:snapToGrid w:val="0"/>
        <w:spacing w:line="360" w:lineRule="auto"/>
        <w:ind w:firstLine="424"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8.2本章第11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对招标文件所作的澄清、修改，构成招标文件的组成部分。</w:t>
      </w:r>
    </w:p>
    <w:p>
      <w:pPr>
        <w:adjustRightInd w:val="0"/>
        <w:snapToGrid w:val="0"/>
        <w:spacing w:line="360" w:lineRule="auto"/>
        <w:ind w:firstLine="424"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8.3采购代理机构在省财政厅指定的媒体</w:t>
      </w:r>
      <w:r>
        <w:rPr>
          <w:rFonts w:hint="eastAsia" w:ascii="宋体" w:hAnsi="宋体" w:cs="宋体"/>
          <w:color w:val="000000" w:themeColor="text1"/>
          <w:kern w:val="0"/>
          <w:szCs w:val="21"/>
          <w14:textFill>
            <w14:solidFill>
              <w14:schemeClr w14:val="tx1"/>
            </w14:solidFill>
          </w14:textFill>
        </w:rPr>
        <w:t>上发布的</w:t>
      </w:r>
      <w:r>
        <w:rPr>
          <w:rFonts w:hint="eastAsia" w:ascii="宋体" w:hAnsi="宋体" w:cs="宋体"/>
          <w:color w:val="000000" w:themeColor="text1"/>
          <w:szCs w:val="21"/>
          <w14:textFill>
            <w14:solidFill>
              <w14:schemeClr w14:val="tx1"/>
            </w14:solidFill>
          </w14:textFill>
        </w:rPr>
        <w:t>电子招标文件具有法律效力</w:t>
      </w:r>
      <w:r>
        <w:rPr>
          <w:rFonts w:hint="eastAsia" w:ascii="宋体" w:hAnsi="宋体" w:cs="宋体"/>
          <w:b/>
          <w:color w:val="000000" w:themeColor="text1"/>
          <w:szCs w:val="21"/>
          <w14:textFill>
            <w14:solidFill>
              <w14:schemeClr w14:val="tx1"/>
            </w14:solidFill>
          </w14:textFill>
        </w:rPr>
        <w:t>。</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8.4投标人应仔细阅读招标文件的全部内容，按照招标文件要求编制投标文件。任何对招标文件的忽略或误解不能作为投标文件存在缺陷或瑕疵的理由，其风险由投标人承担。</w:t>
      </w:r>
    </w:p>
    <w:p>
      <w:pPr>
        <w:pStyle w:val="14"/>
        <w:adjustRightInd w:val="0"/>
        <w:snapToGrid w:val="0"/>
        <w:spacing w:line="360" w:lineRule="auto"/>
        <w:rPr>
          <w:rFonts w:hAnsi="宋体" w:cs="宋体"/>
          <w:b/>
          <w:color w:val="000000" w:themeColor="text1"/>
          <w:kern w:val="2"/>
          <w:sz w:val="21"/>
          <w14:textFill>
            <w14:solidFill>
              <w14:schemeClr w14:val="tx1"/>
            </w14:solidFill>
          </w14:textFill>
        </w:rPr>
      </w:pPr>
      <w:r>
        <w:rPr>
          <w:rFonts w:hint="eastAsia" w:hAnsi="宋体" w:cs="宋体"/>
          <w:b/>
          <w:color w:val="000000" w:themeColor="text1"/>
          <w:kern w:val="2"/>
          <w:sz w:val="21"/>
          <w14:textFill>
            <w14:solidFill>
              <w14:schemeClr w14:val="tx1"/>
            </w14:solidFill>
          </w14:textFill>
        </w:rPr>
        <w:t>9.招标文件的提供期限</w:t>
      </w:r>
    </w:p>
    <w:p>
      <w:pPr>
        <w:pStyle w:val="14"/>
        <w:adjustRightInd w:val="0"/>
        <w:snapToGrid w:val="0"/>
        <w:spacing w:line="360" w:lineRule="auto"/>
        <w:ind w:firstLine="424" w:firstLineChars="200"/>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9.1招标文件的提供期限自开始发出之日起不得少于五个工作日。具体提供期限见</w:t>
      </w:r>
      <w:r>
        <w:rPr>
          <w:rFonts w:hint="eastAsia" w:hAnsi="宋体" w:cs="宋体"/>
          <w:b/>
          <w:bCs/>
          <w:color w:val="000000" w:themeColor="text1"/>
          <w:kern w:val="2"/>
          <w:sz w:val="21"/>
          <w14:textFill>
            <w14:solidFill>
              <w14:schemeClr w14:val="tx1"/>
            </w14:solidFill>
          </w14:textFill>
        </w:rPr>
        <w:t>招标文件前附表</w:t>
      </w:r>
      <w:r>
        <w:rPr>
          <w:rFonts w:hint="eastAsia" w:hAnsi="宋体" w:cs="宋体"/>
          <w:color w:val="000000" w:themeColor="text1"/>
          <w:kern w:val="2"/>
          <w:sz w:val="21"/>
          <w14:textFill>
            <w14:solidFill>
              <w14:schemeClr w14:val="tx1"/>
            </w14:solidFill>
          </w14:textFill>
        </w:rPr>
        <w:t>。</w:t>
      </w:r>
    </w:p>
    <w:p>
      <w:pPr>
        <w:pStyle w:val="14"/>
        <w:adjustRightInd w:val="0"/>
        <w:snapToGrid w:val="0"/>
        <w:spacing w:line="360" w:lineRule="auto"/>
        <w:ind w:firstLine="424" w:firstLineChars="200"/>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9.2投标人应按规定时间和网站下载招标文件。</w:t>
      </w:r>
    </w:p>
    <w:p>
      <w:pPr>
        <w:pStyle w:val="14"/>
        <w:adjustRightInd w:val="0"/>
        <w:snapToGrid w:val="0"/>
        <w:spacing w:line="360" w:lineRule="auto"/>
        <w:ind w:firstLine="424" w:firstLineChars="200"/>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9.3招标文件的提供期限截止时，购买招标文件的投标人少于三家，采购代理机构可以延长招标文件的提供期限或者不再限制提供期限，或者修改招标文件，重新发布招标公告。延长招标文件的提供期限或者不再限制提供期限的，遵守本章第11</w:t>
      </w:r>
      <w:r>
        <w:rPr>
          <w:rFonts w:hint="eastAsia" w:hAnsi="宋体" w:cs="宋体"/>
          <w:color w:val="000000" w:themeColor="text1"/>
          <w:kern w:val="2"/>
          <w:sz w:val="21"/>
          <w:lang w:val="zh-CN"/>
          <w14:textFill>
            <w14:solidFill>
              <w14:schemeClr w14:val="tx1"/>
            </w14:solidFill>
          </w14:textFill>
        </w:rPr>
        <w:t>款</w:t>
      </w:r>
      <w:r>
        <w:rPr>
          <w:rFonts w:hint="eastAsia" w:hAnsi="宋体" w:cs="宋体"/>
          <w:color w:val="000000" w:themeColor="text1"/>
          <w:kern w:val="2"/>
          <w:sz w:val="21"/>
          <w14:textFill>
            <w14:solidFill>
              <w14:schemeClr w14:val="tx1"/>
            </w14:solidFill>
          </w14:textFill>
        </w:rPr>
        <w:t>关于招标文件修改的规定。</w:t>
      </w:r>
    </w:p>
    <w:p>
      <w:pPr>
        <w:pStyle w:val="14"/>
        <w:tabs>
          <w:tab w:val="center" w:pos="4422"/>
        </w:tabs>
        <w:adjustRightInd w:val="0"/>
        <w:snapToGrid w:val="0"/>
        <w:spacing w:line="360" w:lineRule="auto"/>
        <w:rPr>
          <w:rFonts w:hAnsi="宋体" w:cs="宋体"/>
          <w:b/>
          <w:color w:val="000000" w:themeColor="text1"/>
          <w14:textFill>
            <w14:solidFill>
              <w14:schemeClr w14:val="tx1"/>
            </w14:solidFill>
          </w14:textFill>
        </w:rPr>
      </w:pPr>
      <w:r>
        <w:rPr>
          <w:rFonts w:hint="eastAsia" w:hAnsi="宋体" w:cs="宋体"/>
          <w:b/>
          <w:color w:val="000000" w:themeColor="text1"/>
          <w:kern w:val="2"/>
          <w:sz w:val="21"/>
          <w14:textFill>
            <w14:solidFill>
              <w14:schemeClr w14:val="tx1"/>
            </w14:solidFill>
          </w14:textFill>
        </w:rPr>
        <w:t>10．偏离</w:t>
      </w:r>
      <w:r>
        <w:rPr>
          <w:rFonts w:hint="eastAsia" w:hAnsi="宋体" w:cs="宋体"/>
          <w:b/>
          <w:color w:val="000000" w:themeColor="text1"/>
          <w14:textFill>
            <w14:solidFill>
              <w14:schemeClr w14:val="tx1"/>
            </w14:solidFill>
          </w14:textFill>
        </w:rPr>
        <w:tab/>
      </w:r>
    </w:p>
    <w:p>
      <w:pPr>
        <w:pStyle w:val="20"/>
        <w:adjustRightInd w:val="0"/>
        <w:snapToGrid w:val="0"/>
        <w:spacing w:before="0" w:beforeAutospacing="0" w:after="0" w:afterAutospacing="0" w:line="360" w:lineRule="auto"/>
        <w:ind w:firstLine="424" w:firstLineChars="200"/>
        <w:jc w:val="both"/>
        <w:rPr>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10.1本条所称</w:t>
      </w:r>
      <w:r>
        <w:rPr>
          <w:rFonts w:hint="eastAsia"/>
          <w:color w:val="000000" w:themeColor="text1"/>
          <w:sz w:val="21"/>
          <w:szCs w:val="21"/>
          <w14:textFill>
            <w14:solidFill>
              <w14:schemeClr w14:val="tx1"/>
            </w14:solidFill>
          </w14:textFill>
        </w:rPr>
        <w:t>偏离为</w:t>
      </w:r>
      <w:r>
        <w:rPr>
          <w:rFonts w:hint="eastAsia"/>
          <w:bCs/>
          <w:color w:val="000000" w:themeColor="text1"/>
          <w:sz w:val="21"/>
          <w:szCs w:val="21"/>
          <w14:textFill>
            <w14:solidFill>
              <w14:schemeClr w14:val="tx1"/>
            </w14:solidFill>
          </w14:textFill>
        </w:rPr>
        <w:t>投标文件</w:t>
      </w:r>
      <w:r>
        <w:rPr>
          <w:rFonts w:hint="eastAsia"/>
          <w:color w:val="000000" w:themeColor="text1"/>
          <w:sz w:val="21"/>
          <w:szCs w:val="21"/>
          <w14:textFill>
            <w14:solidFill>
              <w14:schemeClr w14:val="tx1"/>
            </w14:solidFill>
          </w14:textFill>
        </w:rPr>
        <w:t>对招标文件的偏离，即不满足或不响应招标文件的要求。</w:t>
      </w:r>
    </w:p>
    <w:p>
      <w:pPr>
        <w:tabs>
          <w:tab w:val="left" w:pos="0"/>
        </w:tabs>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10.2如不满足第七章“采购需求”和商务条款的，在评标时将其视为无效投标。</w:t>
      </w:r>
    </w:p>
    <w:p>
      <w:pPr>
        <w:adjustRightInd w:val="0"/>
        <w:snapToGrid w:val="0"/>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11.招标文件的澄清与修改</w:t>
      </w:r>
    </w:p>
    <w:p>
      <w:pPr>
        <w:pStyle w:val="73"/>
        <w:adjustRightInd w:val="0"/>
        <w:snapToGrid w:val="0"/>
        <w:spacing w:line="360" w:lineRule="auto"/>
        <w:ind w:firstLine="424"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11.1本次招标投标截止时间见</w:t>
      </w:r>
      <w:r>
        <w:rPr>
          <w:rFonts w:hint="eastAsia" w:ascii="宋体" w:hAnsi="宋体" w:cs="宋体"/>
          <w:b/>
          <w:color w:val="000000" w:themeColor="text1"/>
          <w14:textFill>
            <w14:solidFill>
              <w14:schemeClr w14:val="tx1"/>
            </w14:solidFill>
          </w14:textFill>
        </w:rPr>
        <w:t>招标文件前附表。</w:t>
      </w:r>
    </w:p>
    <w:p>
      <w:pPr>
        <w:pStyle w:val="73"/>
        <w:adjustRightInd w:val="0"/>
        <w:snapToGrid w:val="0"/>
        <w:spacing w:line="360" w:lineRule="auto"/>
        <w:ind w:firstLine="424"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11.2采购代理机构对已发出的招标文件进行必要澄清或者修改的，澄清或者修改的内容可能影响投标文件编制的，应当在</w:t>
      </w:r>
      <w:r>
        <w:rPr>
          <w:rFonts w:hint="eastAsia" w:ascii="宋体" w:hAnsi="宋体" w:cs="宋体"/>
          <w:b/>
          <w:color w:val="000000" w:themeColor="text1"/>
          <w14:textFill>
            <w14:solidFill>
              <w14:schemeClr w14:val="tx1"/>
            </w14:solidFill>
          </w14:textFill>
        </w:rPr>
        <w:t>招标文件前附表</w:t>
      </w:r>
      <w:r>
        <w:rPr>
          <w:rFonts w:hint="eastAsia" w:ascii="宋体" w:hAnsi="宋体" w:cs="宋体"/>
          <w:color w:val="000000" w:themeColor="text1"/>
          <w14:textFill>
            <w14:solidFill>
              <w14:schemeClr w14:val="tx1"/>
            </w14:solidFill>
          </w14:textFill>
        </w:rPr>
        <w:t>规定的提交投标文件截止时间十五日前，在省财政厅指定的媒体上发布更正公告。</w:t>
      </w:r>
    </w:p>
    <w:p>
      <w:pPr>
        <w:autoSpaceDE w:val="0"/>
        <w:autoSpaceDN w:val="0"/>
        <w:adjustRightInd w:val="0"/>
        <w:snapToGrid w:val="0"/>
        <w:spacing w:line="360" w:lineRule="auto"/>
        <w:ind w:firstLine="424"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11.3 如果</w:t>
      </w:r>
      <w:r>
        <w:rPr>
          <w:rFonts w:hint="eastAsia" w:ascii="宋体" w:hAnsi="宋体" w:cs="宋体"/>
          <w:color w:val="000000" w:themeColor="text1"/>
          <w14:textFill>
            <w14:solidFill>
              <w14:schemeClr w14:val="tx1"/>
            </w14:solidFill>
          </w14:textFill>
        </w:rPr>
        <w:t>澄清或者修改的内容可能影响投标文件编制的，</w:t>
      </w:r>
      <w:r>
        <w:rPr>
          <w:rFonts w:hint="eastAsia" w:ascii="宋体" w:hAnsi="宋体" w:cs="宋体"/>
          <w:color w:val="000000" w:themeColor="text1"/>
          <w:kern w:val="0"/>
          <w:szCs w:val="21"/>
          <w14:textFill>
            <w14:solidFill>
              <w14:schemeClr w14:val="tx1"/>
            </w14:solidFill>
          </w14:textFill>
        </w:rPr>
        <w:t>时间距</w:t>
      </w:r>
      <w:r>
        <w:rPr>
          <w:rFonts w:hint="eastAsia" w:ascii="宋体" w:hAnsi="宋体" w:cs="宋体"/>
          <w:color w:val="000000" w:themeColor="text1"/>
          <w:szCs w:val="2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kern w:val="0"/>
          <w:szCs w:val="21"/>
          <w14:textFill>
            <w14:solidFill>
              <w14:schemeClr w14:val="tx1"/>
            </w14:solidFill>
          </w14:textFill>
        </w:rPr>
        <w:t>规定的投标截止时间不足十五日，将相应顺延投标截止时间。</w:t>
      </w:r>
    </w:p>
    <w:p>
      <w:pPr>
        <w:adjustRightInd w:val="0"/>
        <w:snapToGrid w:val="0"/>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延长投标截止时间和开标时间</w:t>
      </w:r>
    </w:p>
    <w:p>
      <w:pPr>
        <w:autoSpaceDE w:val="0"/>
        <w:autoSpaceDN w:val="0"/>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12.1 </w:t>
      </w:r>
      <w:r>
        <w:rPr>
          <w:rFonts w:hint="eastAsia" w:ascii="宋体" w:hAnsi="宋体" w:cs="宋体"/>
          <w:color w:val="000000" w:themeColor="text1"/>
          <w:szCs w:val="21"/>
          <w14:textFill>
            <w14:solidFill>
              <w14:schemeClr w14:val="tx1"/>
            </w14:solidFill>
          </w14:textFill>
        </w:rPr>
        <w:t>采购代理机构可以视采购具体情况，延长投标截止时间和开标时间，在省财政厅</w:t>
      </w:r>
      <w:r>
        <w:rPr>
          <w:rFonts w:hint="eastAsia" w:ascii="宋体" w:hAnsi="宋体" w:cs="宋体"/>
          <w:color w:val="000000" w:themeColor="text1"/>
          <w:kern w:val="0"/>
          <w:szCs w:val="21"/>
          <w14:textFill>
            <w14:solidFill>
              <w14:schemeClr w14:val="tx1"/>
            </w14:solidFill>
          </w14:textFill>
        </w:rPr>
        <w:t>指定</w:t>
      </w:r>
      <w:r>
        <w:rPr>
          <w:rFonts w:hint="eastAsia" w:ascii="宋体" w:hAnsi="宋体" w:cs="宋体"/>
          <w:color w:val="000000" w:themeColor="text1"/>
          <w:szCs w:val="21"/>
          <w14:textFill>
            <w14:solidFill>
              <w14:schemeClr w14:val="tx1"/>
            </w14:solidFill>
          </w14:textFill>
        </w:rPr>
        <w:t>的媒体</w:t>
      </w:r>
      <w:r>
        <w:rPr>
          <w:rFonts w:hint="eastAsia" w:ascii="宋体" w:hAnsi="宋体" w:cs="宋体"/>
          <w:color w:val="000000" w:themeColor="text1"/>
          <w:kern w:val="0"/>
          <w:szCs w:val="21"/>
          <w14:textFill>
            <w14:solidFill>
              <w14:schemeClr w14:val="tx1"/>
            </w14:solidFill>
          </w14:textFill>
        </w:rPr>
        <w:t>上发布</w:t>
      </w:r>
      <w:r>
        <w:rPr>
          <w:rFonts w:hint="eastAsia" w:ascii="宋体" w:hAnsi="宋体" w:cs="宋体"/>
          <w:color w:val="000000" w:themeColor="text1"/>
          <w:szCs w:val="21"/>
          <w14:textFill>
            <w14:solidFill>
              <w14:schemeClr w14:val="tx1"/>
            </w14:solidFill>
          </w14:textFill>
        </w:rPr>
        <w:t>更正公告。</w:t>
      </w:r>
    </w:p>
    <w:p>
      <w:pPr>
        <w:pStyle w:val="3"/>
        <w:spacing w:line="360" w:lineRule="auto"/>
        <w:rPr>
          <w:rFonts w:hAnsi="宋体"/>
          <w:color w:val="000000" w:themeColor="text1"/>
          <w14:textFill>
            <w14:solidFill>
              <w14:schemeClr w14:val="tx1"/>
            </w14:solidFill>
          </w14:textFill>
        </w:rPr>
      </w:pPr>
    </w:p>
    <w:p>
      <w:pPr>
        <w:adjustRightInd w:val="0"/>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三、投标文件</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13.投标语言</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13.1投标人提交的投标文件及投标人与采购代理机构就有关投标的所有来往函电均使用中文。投标人可以提交其它语言的资料，但应附有中文注释，有差异时以中文为准。</w:t>
      </w:r>
    </w:p>
    <w:p>
      <w:pPr>
        <w:adjustRightInd w:val="0"/>
        <w:snapToGrid w:val="0"/>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14.计量单位</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14.1所有计量均采用中华人民共和国法定计量单位。</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15.投标文件的组成</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 投标文件的内容如下：</w:t>
      </w:r>
    </w:p>
    <w:p>
      <w:pPr>
        <w:numPr>
          <w:ilvl w:val="0"/>
          <w:numId w:val="3"/>
        </w:numPr>
        <w:adjustRightInd w:val="0"/>
        <w:snapToGrid w:val="0"/>
        <w:spacing w:line="360" w:lineRule="auto"/>
        <w:ind w:left="84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投标书</w:t>
      </w:r>
    </w:p>
    <w:p>
      <w:pPr>
        <w:numPr>
          <w:ilvl w:val="0"/>
          <w:numId w:val="3"/>
        </w:numPr>
        <w:adjustRightInd w:val="0"/>
        <w:snapToGrid w:val="0"/>
        <w:spacing w:line="360" w:lineRule="auto"/>
        <w:ind w:left="84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开标一览表</w:t>
      </w:r>
    </w:p>
    <w:p>
      <w:pPr>
        <w:numPr>
          <w:ilvl w:val="0"/>
          <w:numId w:val="3"/>
        </w:numPr>
        <w:adjustRightInd w:val="0"/>
        <w:snapToGrid w:val="0"/>
        <w:spacing w:line="360" w:lineRule="auto"/>
        <w:ind w:left="84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开标一览明细表</w:t>
      </w:r>
    </w:p>
    <w:p>
      <w:pPr>
        <w:numPr>
          <w:ilvl w:val="0"/>
          <w:numId w:val="3"/>
        </w:numPr>
        <w:adjustRightInd w:val="0"/>
        <w:snapToGrid w:val="0"/>
        <w:spacing w:line="360" w:lineRule="auto"/>
        <w:ind w:left="84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分项价格表</w:t>
      </w:r>
    </w:p>
    <w:p>
      <w:pPr>
        <w:numPr>
          <w:ilvl w:val="0"/>
          <w:numId w:val="3"/>
        </w:numPr>
        <w:adjustRightInd w:val="0"/>
        <w:snapToGrid w:val="0"/>
        <w:spacing w:line="360" w:lineRule="auto"/>
        <w:ind w:left="84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服务要求响应/偏离表</w:t>
      </w:r>
    </w:p>
    <w:p>
      <w:pPr>
        <w:numPr>
          <w:ilvl w:val="0"/>
          <w:numId w:val="3"/>
        </w:numPr>
        <w:adjustRightInd w:val="0"/>
        <w:snapToGrid w:val="0"/>
        <w:spacing w:line="360" w:lineRule="auto"/>
        <w:ind w:left="84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商务条款响应/偏离表</w:t>
      </w:r>
    </w:p>
    <w:p>
      <w:pPr>
        <w:numPr>
          <w:ilvl w:val="0"/>
          <w:numId w:val="3"/>
        </w:numPr>
        <w:adjustRightInd w:val="0"/>
        <w:snapToGrid w:val="0"/>
        <w:spacing w:line="360" w:lineRule="auto"/>
        <w:ind w:left="84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法人代表授权书</w:t>
      </w:r>
    </w:p>
    <w:p>
      <w:pPr>
        <w:numPr>
          <w:ilvl w:val="0"/>
          <w:numId w:val="3"/>
        </w:numPr>
        <w:adjustRightInd w:val="0"/>
        <w:snapToGrid w:val="0"/>
        <w:spacing w:line="360" w:lineRule="auto"/>
        <w:ind w:left="84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政府采购投标及履约承诺函</w:t>
      </w:r>
    </w:p>
    <w:p>
      <w:pPr>
        <w:numPr>
          <w:ilvl w:val="0"/>
          <w:numId w:val="3"/>
        </w:numPr>
        <w:adjustRightInd w:val="0"/>
        <w:snapToGrid w:val="0"/>
        <w:spacing w:line="360" w:lineRule="auto"/>
        <w:ind w:left="84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资格证明文件</w:t>
      </w:r>
    </w:p>
    <w:p>
      <w:pPr>
        <w:adjustRightInd w:val="0"/>
        <w:snapToGrid w:val="0"/>
        <w:spacing w:line="360" w:lineRule="auto"/>
        <w:ind w:left="42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（10）服务方案</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 投标文件内容及题目的编排顺序和编号参照本章第15.1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要求的结构。</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 根据《政府采购法》第四十二条的规定，投标人无论中标与否，其投标文件不予退还。</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15.4投标人如有投标优惠，涉及价格的，应当直接在开标一览表的投标报价中给出(即投标报价中已包含价格折扣)；涉及商务、技术内容的，应当在商务条款响应/偏离表或服务要求响应/偏离表中填写。</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16.投标报价</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 投标人应按招标文件规定的供货及服务要求、责任范围和合同条件，以人民币进行报价。</w:t>
      </w:r>
    </w:p>
    <w:p>
      <w:pPr>
        <w:tabs>
          <w:tab w:val="left" w:pos="0"/>
          <w:tab w:val="left" w:pos="7560"/>
          <w:tab w:val="left" w:pos="7740"/>
          <w:tab w:val="left" w:pos="7920"/>
        </w:tabs>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16.2 投标人应按开标一览表和开标一览明细表的内容和格式要求填写各项货物及服务的分项价格和总价。投标总价中不得包含招标文件要求以外的内容，否则，在评标时不予核减。投标总价中也不得缺漏招标文件所要求的内容，否则，在评标时将其视为无效投标。</w:t>
      </w:r>
    </w:p>
    <w:p>
      <w:pPr>
        <w:tabs>
          <w:tab w:val="left" w:pos="525"/>
          <w:tab w:val="left" w:pos="7560"/>
          <w:tab w:val="left" w:pos="8280"/>
        </w:tabs>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16.3投标人的投标报价不得超过采购项目</w:t>
      </w:r>
      <w:r>
        <w:rPr>
          <w:rFonts w:hint="eastAsia" w:ascii="宋体" w:hAnsi="宋体" w:cs="宋体"/>
          <w:b/>
          <w:bCs/>
          <w:color w:val="000000" w:themeColor="text1"/>
          <w:szCs w:val="21"/>
          <w14:textFill>
            <w14:solidFill>
              <w14:schemeClr w14:val="tx1"/>
            </w14:solidFill>
          </w14:textFill>
        </w:rPr>
        <w:t>最高限价</w:t>
      </w:r>
      <w:r>
        <w:rPr>
          <w:rFonts w:hint="eastAsia" w:ascii="宋体" w:hAnsi="宋体" w:cs="宋体"/>
          <w:color w:val="000000" w:themeColor="text1"/>
          <w:szCs w:val="21"/>
          <w14:textFill>
            <w14:solidFill>
              <w14:schemeClr w14:val="tx1"/>
            </w14:solidFill>
          </w14:textFill>
        </w:rPr>
        <w:t>。</w:t>
      </w:r>
    </w:p>
    <w:p>
      <w:pPr>
        <w:pStyle w:val="14"/>
        <w:adjustRightInd w:val="0"/>
        <w:snapToGrid w:val="0"/>
        <w:spacing w:line="360" w:lineRule="auto"/>
        <w:ind w:firstLine="424"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16.4 投标文件中标明的价格在合同执行过程中是固定不变的，不得以任何理由予以变更。任何包含价格调整要求和条件的投标，在评标时将其视为无效投标。</w:t>
      </w:r>
    </w:p>
    <w:p>
      <w:pPr>
        <w:pStyle w:val="14"/>
        <w:adjustRightInd w:val="0"/>
        <w:snapToGrid w:val="0"/>
        <w:spacing w:line="360" w:lineRule="auto"/>
        <w:ind w:firstLine="424" w:firstLineChars="200"/>
        <w:jc w:val="left"/>
        <w:rPr>
          <w:rFonts w:hAnsi="宋体" w:cs="宋体"/>
          <w:color w:val="000000" w:themeColor="text1"/>
          <w14:textFill>
            <w14:solidFill>
              <w14:schemeClr w14:val="tx1"/>
            </w14:solidFill>
          </w14:textFill>
        </w:rPr>
      </w:pPr>
      <w:r>
        <w:rPr>
          <w:rFonts w:hint="eastAsia" w:hAnsi="宋体" w:cs="宋体"/>
          <w:color w:val="000000" w:themeColor="text1"/>
          <w:kern w:val="2"/>
          <w:sz w:val="21"/>
          <w14:textFill>
            <w14:solidFill>
              <w14:schemeClr w14:val="tx1"/>
            </w14:solidFill>
          </w14:textFill>
        </w:rPr>
        <w:t>16.5投标人的价格折扣（价格变更声明）应当直接在开标一览表的投标报价中给出。</w:t>
      </w:r>
    </w:p>
    <w:p>
      <w:pPr>
        <w:pStyle w:val="20"/>
        <w:spacing w:before="0" w:beforeAutospacing="0" w:after="0" w:afterAutospacing="0" w:line="360" w:lineRule="auto"/>
        <w:ind w:firstLine="424"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16.6投标文件报价出现前后不一致的，按照下列规定修正：</w:t>
      </w:r>
    </w:p>
    <w:p>
      <w:pPr>
        <w:pStyle w:val="2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（1）投标文件中开标一览表（报价表）内容与投标文件中相应内容不一致的，以开标一览表（报价表）为准；</w:t>
      </w:r>
    </w:p>
    <w:p>
      <w:pPr>
        <w:pStyle w:val="20"/>
        <w:spacing w:before="0" w:beforeAutospacing="0" w:after="0" w:afterAutospacing="0"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（2）大写金额和小写金额不一致的，以大写金额为准；</w:t>
      </w:r>
    </w:p>
    <w:p>
      <w:pPr>
        <w:pStyle w:val="20"/>
        <w:spacing w:before="0" w:beforeAutospacing="0" w:after="0" w:afterAutospacing="0"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（3）单价金额小数点或者百分比有明显错位的，以开标一览表的总价为准，并修改单价；</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r>
        <w:rPr>
          <w:rFonts w:hint="eastAsia" w:ascii="宋体" w:hAnsi="宋体" w:cs="宋体"/>
          <w:color w:val="000000" w:themeColor="text1"/>
          <w14:textFill>
            <w14:solidFill>
              <w14:schemeClr w14:val="tx1"/>
            </w14:solidFill>
          </w14:textFill>
        </w:rPr>
        <w:t>（4）总价金额与按单价汇总金额不一致的，以单价金额计算结果为准。</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同时出现两种以上不一致的，按照前款规定的顺序修正。修正后的报价经投标人确认后产生约束力，投标人不确认的，其投标无效。</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16.7投标人的报价明显低于其他通过符合性审查投标人的报价，有可能影响产品质量或者不能诚信履约的，应当在评标现场合理的时间内提供书面说明，必要时提交相关证明材料，投标人不能证明其报价合理性的，作为无效投标处理。</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17.投标人的资格证明文件</w:t>
      </w:r>
    </w:p>
    <w:p>
      <w:pPr>
        <w:tabs>
          <w:tab w:val="left" w:pos="7560"/>
          <w:tab w:val="left" w:pos="7740"/>
          <w:tab w:val="left" w:pos="7920"/>
        </w:tabs>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17.1投标人应提交满足本章第3.1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规定的资格条件要求的证明文件,该证明文件作为投标文件的一部分。</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17.2如果投标人为联合体，则应提交联合体各方资格证明文件、联合体协议。否则，在评标时将其视为无效投标。</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18.投标货物符合招标文件规定的证明文件</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18.1 投标人应当提交其拟投的货物及其服务符合招标文件规定的证明文件,该证明文件作为投标文件的一部分。</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18.2 投标人在投标一览明细表中应当说明货物的品牌型号、规格、制造商等，交货时应出具原产地证明及出厂合格证明。</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18.3 上述证明文件可以是文字资料、图纸和数据，并须提供：</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（1）货物主要性能和参数的详细说明；</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（2）对照招标文件技术规格，逐条说明所提供货物和服务对招标文件的技术规格条文的响应与偏离。对有具体参数要求的指标，投标人应提供具体参数值。</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18.4 </w:t>
      </w:r>
      <w:r>
        <w:rPr>
          <w:rFonts w:hint="eastAsia" w:ascii="宋体" w:hAnsi="宋体" w:cs="宋体"/>
          <w:b/>
          <w:color w:val="000000" w:themeColor="text1"/>
          <w:szCs w:val="21"/>
          <w14:textFill>
            <w14:solidFill>
              <w14:schemeClr w14:val="tx1"/>
            </w14:solidFill>
          </w14:textFill>
        </w:rPr>
        <w:t>招标文件前附表</w:t>
      </w:r>
      <w:r>
        <w:rPr>
          <w:rFonts w:hint="eastAsia" w:ascii="宋体" w:hAnsi="宋体" w:cs="宋体"/>
          <w:color w:val="000000" w:themeColor="text1"/>
          <w:szCs w:val="21"/>
          <w14:textFill>
            <w14:solidFill>
              <w14:schemeClr w14:val="tx1"/>
            </w14:solidFill>
          </w14:textFill>
        </w:rPr>
        <w:t>规定投标人在投标时提供样品的，投标人有以下情形之一的，在评标时将其视为无效投标。</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（1）未在</w:t>
      </w:r>
      <w:r>
        <w:rPr>
          <w:rFonts w:hint="eastAsia" w:ascii="宋体" w:hAnsi="宋体" w:cs="宋体"/>
          <w:b/>
          <w:color w:val="000000" w:themeColor="text1"/>
          <w:szCs w:val="21"/>
          <w14:textFill>
            <w14:solidFill>
              <w14:schemeClr w14:val="tx1"/>
            </w14:solidFill>
          </w14:textFill>
        </w:rPr>
        <w:t>招标文件前附表</w:t>
      </w:r>
      <w:r>
        <w:rPr>
          <w:rFonts w:hint="eastAsia" w:ascii="宋体" w:hAnsi="宋体" w:cs="宋体"/>
          <w:color w:val="000000" w:themeColor="text1"/>
          <w:szCs w:val="21"/>
          <w14:textFill>
            <w14:solidFill>
              <w14:schemeClr w14:val="tx1"/>
            </w14:solidFill>
          </w14:textFill>
        </w:rPr>
        <w:t>规定的提交时间、地点提交的；</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（2）投标人提供的样品与投标文件中型号、规格不一致的。</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19.</w:t>
      </w:r>
      <w:r>
        <w:rPr>
          <w:rFonts w:hint="eastAsia" w:ascii="宋体" w:hAnsi="宋体" w:cs="宋体"/>
          <w:b/>
          <w:bCs/>
          <w:color w:val="000000" w:themeColor="text1"/>
          <w:szCs w:val="21"/>
          <w14:textFill>
            <w14:solidFill>
              <w14:schemeClr w14:val="tx1"/>
            </w14:solidFill>
          </w14:textFill>
        </w:rPr>
        <w:t>投标保证金</w:t>
      </w:r>
    </w:p>
    <w:p>
      <w:pPr>
        <w:adjustRightInd w:val="0"/>
        <w:snapToGrid w:val="0"/>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19.1</w:t>
      </w:r>
      <w:r>
        <w:rPr>
          <w:rFonts w:hint="eastAsia" w:ascii="宋体" w:hAnsi="宋体" w:cs="宋体"/>
          <w:bCs/>
          <w:color w:val="000000" w:themeColor="text1"/>
          <w:szCs w:val="21"/>
          <w14:textFill>
            <w14:solidFill>
              <w14:schemeClr w14:val="tx1"/>
            </w14:solidFill>
          </w14:textFill>
        </w:rPr>
        <w:t>详见“</w:t>
      </w:r>
      <w:r>
        <w:rPr>
          <w:rFonts w:hint="eastAsia" w:ascii="宋体" w:hAnsi="宋体" w:cs="宋体"/>
          <w:b/>
          <w:color w:val="000000" w:themeColor="text1"/>
          <w:szCs w:val="21"/>
          <w14:textFill>
            <w14:solidFill>
              <w14:schemeClr w14:val="tx1"/>
            </w14:solidFill>
          </w14:textFill>
        </w:rPr>
        <w:t>招标文件前附表</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20.投标有效期</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20.1投标有效期见</w:t>
      </w:r>
      <w:r>
        <w:rPr>
          <w:rFonts w:hint="eastAsia" w:ascii="宋体" w:hAnsi="宋体" w:cs="宋体"/>
          <w:b/>
          <w:color w:val="000000" w:themeColor="text1"/>
          <w:szCs w:val="21"/>
          <w14:textFill>
            <w14:solidFill>
              <w14:schemeClr w14:val="tx1"/>
            </w14:solidFill>
          </w14:textFill>
        </w:rPr>
        <w:t>招标文件前附表</w:t>
      </w:r>
      <w:r>
        <w:rPr>
          <w:rFonts w:hint="eastAsia" w:ascii="宋体" w:hAnsi="宋体" w:cs="宋体"/>
          <w:color w:val="000000" w:themeColor="text1"/>
          <w:szCs w:val="21"/>
          <w14:textFill>
            <w14:solidFill>
              <w14:schemeClr w14:val="tx1"/>
            </w14:solidFill>
          </w14:textFill>
        </w:rPr>
        <w:t>，在此期间投标文件对投标人具有法律约束力，以保证采购人有足够的时间完成评标、定标以及签订合同。投标有效期从本章第11.1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规定的投标截止之日起计算。投标有效期不足的，在评标时将其视为无效投标。</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21.投标文件的签署</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21.1本项目为不见面开标项目，各投标人无需提交纸质投标文件。按照要求上传电子投标文件到指定网站即可。</w:t>
      </w:r>
    </w:p>
    <w:p>
      <w:pPr>
        <w:tabs>
          <w:tab w:val="left" w:pos="570"/>
          <w:tab w:val="left" w:pos="8280"/>
        </w:tabs>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 投标文件应按照招标文件要求盖章和签字。如未不按上述要求盖章和签字的，在评标时将其视为无效投标。</w:t>
      </w:r>
    </w:p>
    <w:p>
      <w:pPr>
        <w:adjustRightInd w:val="0"/>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四、投标文件的递交</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22.投标文件的制作</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22.1投标人应按照新点投标软件制作要求制作投标文件，并生成电子投标文件按照指定的网站上传。</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23.投标文件的递交</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23.1 电子投标文件应在本章第11.1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规定的投标截止时间之前上传到指定的网站。</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24.投标文件的修改和撤回</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24.1在本章第11.1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规定的投标截止时间前，投标人可以在新点投标文件上传平台进行修改、补充或撤回己递交的投标文件。</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24.2修改、补充的内容为投标文件的组成部分。</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24.3投标人撤回投标文件的，采购代理机构自收到投标人书面撤回通知之日起五日内退还已收取的投标保证金。</w:t>
      </w:r>
    </w:p>
    <w:p>
      <w:pPr>
        <w:pStyle w:val="20"/>
        <w:adjustRightInd w:val="0"/>
        <w:snapToGrid w:val="0"/>
        <w:spacing w:before="0" w:beforeAutospacing="0" w:after="0" w:afterAutospacing="0" w:line="360" w:lineRule="auto"/>
        <w:rPr>
          <w:b/>
          <w:color w:val="000000" w:themeColor="text1"/>
          <w:sz w:val="21"/>
          <w:szCs w:val="21"/>
          <w14:textFill>
            <w14:solidFill>
              <w14:schemeClr w14:val="tx1"/>
            </w14:solidFill>
          </w14:textFill>
        </w:rPr>
      </w:pPr>
      <w:r>
        <w:rPr>
          <w:rStyle w:val="27"/>
          <w:rFonts w:hint="eastAsia" w:cs="宋体"/>
          <w:color w:val="000000" w:themeColor="text1"/>
          <w:sz w:val="21"/>
          <w:szCs w:val="21"/>
          <w14:textFill>
            <w14:solidFill>
              <w14:schemeClr w14:val="tx1"/>
            </w14:solidFill>
          </w14:textFill>
        </w:rPr>
        <w:t>25.</w:t>
      </w:r>
      <w:r>
        <w:rPr>
          <w:rFonts w:hint="eastAsia"/>
          <w:b/>
          <w:color w:val="000000" w:themeColor="text1"/>
          <w:sz w:val="21"/>
          <w:szCs w:val="21"/>
          <w14:textFill>
            <w14:solidFill>
              <w14:schemeClr w14:val="tx1"/>
            </w14:solidFill>
          </w14:textFill>
        </w:rPr>
        <w:t>串通投标行为</w:t>
      </w:r>
    </w:p>
    <w:p>
      <w:pPr>
        <w:pStyle w:val="20"/>
        <w:adjustRightInd w:val="0"/>
        <w:snapToGrid w:val="0"/>
        <w:spacing w:before="0" w:beforeAutospacing="0" w:after="0" w:afterAutospacing="0" w:line="360" w:lineRule="auto"/>
        <w:ind w:firstLine="400" w:firstLineChars="200"/>
        <w:rPr>
          <w:color w:val="000000" w:themeColor="text1"/>
          <w:sz w:val="21"/>
          <w:szCs w:val="21"/>
          <w14:textFill>
            <w14:solidFill>
              <w14:schemeClr w14:val="tx1"/>
            </w14:solidFill>
          </w14:textFill>
        </w:rPr>
      </w:pPr>
      <w:r>
        <w:rPr>
          <w:rFonts w:hint="eastAsia"/>
          <w:color w:val="000000" w:themeColor="text1"/>
          <w:spacing w:val="-6"/>
          <w:sz w:val="21"/>
          <w:szCs w:val="21"/>
          <w14:textFill>
            <w14:solidFill>
              <w14:schemeClr w14:val="tx1"/>
            </w14:solidFill>
          </w14:textFill>
        </w:rPr>
        <w:t>25.1</w:t>
      </w:r>
      <w:r>
        <w:rPr>
          <w:rFonts w:hint="eastAsia"/>
          <w:color w:val="000000" w:themeColor="text1"/>
          <w:sz w:val="21"/>
          <w:szCs w:val="21"/>
          <w14:textFill>
            <w14:solidFill>
              <w14:schemeClr w14:val="tx1"/>
            </w14:solidFill>
          </w14:textFill>
        </w:rPr>
        <w:t>投标人有以下情形之一的，可认定其有串通投标行为，中标无效：</w:t>
      </w:r>
    </w:p>
    <w:p>
      <w:pPr>
        <w:pStyle w:val="20"/>
        <w:adjustRightInd w:val="0"/>
        <w:snapToGrid w:val="0"/>
        <w:spacing w:before="0" w:beforeAutospacing="0" w:after="0" w:afterAutospacing="0" w:line="360" w:lineRule="auto"/>
        <w:ind w:firstLine="424" w:firstLineChars="200"/>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（1）不同投标人的投标文件由同一单位或者个人编制；</w:t>
      </w:r>
    </w:p>
    <w:p>
      <w:pPr>
        <w:pStyle w:val="20"/>
        <w:adjustRightInd w:val="0"/>
        <w:snapToGrid w:val="0"/>
        <w:spacing w:before="0" w:beforeAutospacing="0" w:after="0" w:afterAutospacing="0" w:line="360" w:lineRule="auto"/>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　　（2）不同投标人委托同一单位或者个人办理投标事宜；</w:t>
      </w:r>
    </w:p>
    <w:p>
      <w:pPr>
        <w:pStyle w:val="20"/>
        <w:adjustRightInd w:val="0"/>
        <w:snapToGrid w:val="0"/>
        <w:spacing w:before="0" w:beforeAutospacing="0" w:after="0" w:afterAutospacing="0" w:line="360" w:lineRule="auto"/>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　　（3）不同投标人的投标文件载明的项目管理成员或者联系人员为同一人；</w:t>
      </w:r>
    </w:p>
    <w:p>
      <w:pPr>
        <w:pStyle w:val="20"/>
        <w:adjustRightInd w:val="0"/>
        <w:snapToGrid w:val="0"/>
        <w:spacing w:before="0" w:beforeAutospacing="0" w:after="0" w:afterAutospacing="0" w:line="360" w:lineRule="auto"/>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　　（4）不同投标人的投标文件异常一致或者投标报价呈规律性差异；</w:t>
      </w:r>
    </w:p>
    <w:p>
      <w:pPr>
        <w:pStyle w:val="20"/>
        <w:adjustRightInd w:val="0"/>
        <w:snapToGrid w:val="0"/>
        <w:spacing w:before="0" w:beforeAutospacing="0" w:after="0" w:afterAutospacing="0" w:line="360" w:lineRule="auto"/>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　　（5）不同投标人的投标文件相互混装；</w:t>
      </w:r>
    </w:p>
    <w:p>
      <w:pPr>
        <w:pStyle w:val="20"/>
        <w:adjustRightInd w:val="0"/>
        <w:snapToGrid w:val="0"/>
        <w:spacing w:before="0" w:beforeAutospacing="0" w:after="0" w:afterAutospacing="0" w:line="360" w:lineRule="auto"/>
        <w:ind w:firstLine="421"/>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（6）法律法规规定的其他情形。</w:t>
      </w:r>
    </w:p>
    <w:p>
      <w:pPr>
        <w:adjustRightInd w:val="0"/>
        <w:snapToGrid w:val="0"/>
        <w:spacing w:line="360" w:lineRule="auto"/>
        <w:rPr>
          <w:rFonts w:ascii="宋体" w:hAnsi="宋体" w:cs="宋体"/>
          <w:b/>
          <w:color w:val="000000" w:themeColor="text1"/>
          <w:sz w:val="24"/>
          <w14:textFill>
            <w14:solidFill>
              <w14:schemeClr w14:val="tx1"/>
            </w14:solidFill>
          </w14:textFill>
        </w:rPr>
      </w:pPr>
    </w:p>
    <w:p>
      <w:pPr>
        <w:adjustRightInd w:val="0"/>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五、开标和评标</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26.开标</w:t>
      </w:r>
    </w:p>
    <w:p>
      <w:pPr>
        <w:tabs>
          <w:tab w:val="left" w:pos="570"/>
          <w:tab w:val="left" w:pos="7560"/>
          <w:tab w:val="left" w:pos="7740"/>
          <w:tab w:val="left" w:pos="8280"/>
        </w:tabs>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26.1采购代理机构在本章第11.1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规定的投标截止时间(开标时间)和本章第23.1项规定的地点组织公开开标程序</w:t>
      </w:r>
      <w:r>
        <w:rPr>
          <w:rFonts w:hint="eastAsia" w:ascii="宋体" w:hAnsi="宋体" w:cs="宋体"/>
          <w:bCs/>
          <w:color w:val="000000" w:themeColor="text1"/>
          <w:szCs w:val="21"/>
          <w14:textFill>
            <w14:solidFill>
              <w14:schemeClr w14:val="tx1"/>
            </w14:solidFill>
          </w14:textFill>
        </w:rPr>
        <w:t>。</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26.2 开标时，通过现场直播公布在投标截止时间前上传投标文件的投标人名称；并由采购人或采购代理机构，宣读投标人名称、投标价格、投标文件的其他主要内容。</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26.3 开标时，如唱标人宣读的内容与投标文件不一致时，投标人代表应当在不见面开标系统“互动交流”提出。</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26.4采购人代表、采购代理机构代表、监督人（如果在现场）、记录人等有关人员在开标记录上签字确认</w:t>
      </w:r>
      <w:r>
        <w:rPr>
          <w:rFonts w:hint="eastAsia" w:ascii="宋体" w:hAnsi="宋体" w:cs="宋体"/>
          <w:bCs/>
          <w:color w:val="000000" w:themeColor="text1"/>
          <w:szCs w:val="21"/>
          <w14:textFill>
            <w14:solidFill>
              <w14:schemeClr w14:val="tx1"/>
            </w14:solidFill>
          </w14:textFill>
        </w:rPr>
        <w:t>。</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26.5 开标时，投标文件中开标一览表总价与投标文件中开标一览明细表总价不一致的，以开标一览表为准。</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27.评标委员会</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27.1评标由采购人或采购代理机构依法组建的评标委员会负责。</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27.2评标委员会成员与投标人存在利害关系的，应当回避。</w:t>
      </w:r>
    </w:p>
    <w:p>
      <w:pPr>
        <w:pStyle w:val="14"/>
        <w:adjustRightInd w:val="0"/>
        <w:snapToGrid w:val="0"/>
        <w:spacing w:line="360" w:lineRule="auto"/>
        <w:jc w:val="left"/>
        <w:rPr>
          <w:rFonts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28.评标</w:t>
      </w:r>
    </w:p>
    <w:p>
      <w:pPr>
        <w:pStyle w:val="14"/>
        <w:adjustRightInd w:val="0"/>
        <w:snapToGrid w:val="0"/>
        <w:spacing w:line="360" w:lineRule="auto"/>
        <w:ind w:firstLine="424"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28.1 评标委员会按照第四章“评标方法及标准”规定的评标方法、评审因素、标准和程序以及有关法律、法规及规章对投标文件进行评审。</w:t>
      </w:r>
    </w:p>
    <w:p>
      <w:pPr>
        <w:adjustRightInd w:val="0"/>
        <w:snapToGrid w:val="0"/>
        <w:spacing w:line="360" w:lineRule="auto"/>
        <w:jc w:val="left"/>
        <w:rPr>
          <w:rFonts w:ascii="宋体" w:hAnsi="宋体" w:cs="宋体"/>
          <w:b/>
          <w:color w:val="000000" w:themeColor="text1"/>
          <w:szCs w:val="21"/>
          <w14:textFill>
            <w14:solidFill>
              <w14:schemeClr w14:val="tx1"/>
            </w14:solidFill>
          </w14:textFill>
        </w:rPr>
      </w:pPr>
    </w:p>
    <w:p>
      <w:pPr>
        <w:adjustRightInd w:val="0"/>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六、中标信息公布与投标人质疑</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29.中标信息公布</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29.1中标人确定后，中标信息将在本章第8.3</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指定的媒体上公布。</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30.</w:t>
      </w:r>
      <w:r>
        <w:rPr>
          <w:rFonts w:hint="eastAsia" w:ascii="宋体" w:hAnsi="宋体" w:cs="宋体"/>
          <w:b/>
          <w:color w:val="000000" w:themeColor="text1"/>
          <w:szCs w:val="21"/>
          <w14:textFill>
            <w14:solidFill>
              <w14:schemeClr w14:val="tx1"/>
            </w14:solidFill>
          </w14:textFill>
        </w:rPr>
        <w:t>投标人</w:t>
      </w:r>
      <w:r>
        <w:rPr>
          <w:rFonts w:hint="eastAsia" w:ascii="宋体" w:hAnsi="宋体" w:cs="宋体"/>
          <w:b/>
          <w:bCs/>
          <w:color w:val="000000" w:themeColor="text1"/>
          <w:szCs w:val="21"/>
          <w14:textFill>
            <w14:solidFill>
              <w14:schemeClr w14:val="tx1"/>
            </w14:solidFill>
          </w14:textFill>
        </w:rPr>
        <w:t>质疑</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30.1投标人对政府采购活动事项有疑问的，可以向采购人或采购代理机构提出询问。采购人或采购代理机构将在三个工作日内作出答复。</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30.2投标人若认为招标文件、采购过程和中标结果使自己的权益受到损害，应当在下列时间内以书面形式向采购人或采购代理机构提出：</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（1）关于招标文件的质疑</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应当在报名及下载文件之日</w:t>
      </w:r>
      <w:r>
        <w:rPr>
          <w:rFonts w:hint="eastAsia" w:ascii="宋体" w:hAnsi="宋体" w:cs="宋体"/>
          <w:color w:val="000000" w:themeColor="text1"/>
          <w:kern w:val="1"/>
          <w:szCs w:val="21"/>
          <w14:textFill>
            <w14:solidFill>
              <w14:schemeClr w14:val="tx1"/>
            </w14:solidFill>
          </w14:textFill>
        </w:rPr>
        <w:t>起</w:t>
      </w:r>
      <w:r>
        <w:rPr>
          <w:rFonts w:hint="eastAsia" w:ascii="宋体" w:hAnsi="宋体" w:cs="宋体"/>
          <w:color w:val="000000" w:themeColor="text1"/>
          <w:szCs w:val="21"/>
          <w14:textFill>
            <w14:solidFill>
              <w14:schemeClr w14:val="tx1"/>
            </w14:solidFill>
          </w14:textFill>
        </w:rPr>
        <w:t>七个工作日内提出。</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（2）关于采购过程的质疑，应在采购程序环节结束之日起七个工作日内提出。</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（3）关于中标结果的质疑，应在中标结果信息发布后七个工作日内提出。</w:t>
      </w:r>
    </w:p>
    <w:p>
      <w:pPr>
        <w:pStyle w:val="14"/>
        <w:adjustRightInd w:val="0"/>
        <w:snapToGrid w:val="0"/>
        <w:spacing w:line="360" w:lineRule="auto"/>
        <w:ind w:firstLine="424"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30.3 投标人提出质疑的，应当按照中国政府采购网上的质疑函范本书写并提供质疑函原件。采购人或采购代理机构应当向质疑的投标人签收回执。</w:t>
      </w:r>
    </w:p>
    <w:p>
      <w:pPr>
        <w:pStyle w:val="14"/>
        <w:adjustRightInd w:val="0"/>
        <w:snapToGrid w:val="0"/>
        <w:spacing w:line="360" w:lineRule="auto"/>
        <w:ind w:firstLine="424"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30.4 质疑书应当包括下列内容：</w:t>
      </w:r>
    </w:p>
    <w:p>
      <w:pPr>
        <w:pStyle w:val="14"/>
        <w:adjustRightInd w:val="0"/>
        <w:snapToGrid w:val="0"/>
        <w:spacing w:line="360" w:lineRule="auto"/>
        <w:ind w:firstLine="424"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（1）质疑投标人的名称、地址及有效联系方式；</w:t>
      </w:r>
    </w:p>
    <w:p>
      <w:pPr>
        <w:pStyle w:val="14"/>
        <w:adjustRightInd w:val="0"/>
        <w:snapToGrid w:val="0"/>
        <w:spacing w:line="360" w:lineRule="auto"/>
        <w:ind w:firstLine="424"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（2）质疑事项；</w:t>
      </w:r>
    </w:p>
    <w:p>
      <w:pPr>
        <w:pStyle w:val="14"/>
        <w:adjustRightInd w:val="0"/>
        <w:snapToGrid w:val="0"/>
        <w:spacing w:line="360" w:lineRule="auto"/>
        <w:ind w:firstLine="424"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（3）事实依据及相关证明材料；</w:t>
      </w:r>
    </w:p>
    <w:p>
      <w:pPr>
        <w:pStyle w:val="14"/>
        <w:adjustRightInd w:val="0"/>
        <w:snapToGrid w:val="0"/>
        <w:spacing w:line="360" w:lineRule="auto"/>
        <w:ind w:firstLine="424"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（4）相关请求及主张。</w:t>
      </w:r>
    </w:p>
    <w:p>
      <w:pPr>
        <w:pStyle w:val="14"/>
        <w:adjustRightInd w:val="0"/>
        <w:snapToGrid w:val="0"/>
        <w:spacing w:line="360" w:lineRule="auto"/>
        <w:ind w:firstLine="424"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30.5 质疑书应当由投标人法定代表人或其授权的代理人签字并加盖投标人单位章，质疑书由授权的代理人签字的应附投标人法定代表人委托授权书、身份证扫描件、营业执照及报名回执单。</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30.6 采购人或采购代理机构将在签收回执之日起七个工作日内作出书面答复，并以书面形式通知质疑投标人和其他有关的投标人。</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30.7 投标人对采购人或采购代理机构的答复不满意，或采购人或采购代理机构未在规定的期限作出答复的，可在答复期满后十五个工作日内，按政府采购相关法律法规规章的规定及程序，向项目所属地的财政部门提出投诉。</w:t>
      </w:r>
    </w:p>
    <w:p>
      <w:pPr>
        <w:adjustRightInd w:val="0"/>
        <w:snapToGrid w:val="0"/>
        <w:spacing w:line="360" w:lineRule="auto"/>
        <w:jc w:val="left"/>
        <w:rPr>
          <w:rFonts w:ascii="宋体" w:hAnsi="宋体" w:cs="宋体"/>
          <w:b/>
          <w:color w:val="000000" w:themeColor="text1"/>
          <w:szCs w:val="21"/>
          <w14:textFill>
            <w14:solidFill>
              <w14:schemeClr w14:val="tx1"/>
            </w14:solidFill>
          </w14:textFill>
        </w:rPr>
      </w:pPr>
    </w:p>
    <w:p>
      <w:pPr>
        <w:adjustRightInd w:val="0"/>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七、合同签订</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31.中标结果通知</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 在公告中标结果的同时，采购代理机构将以书面形式向中标人发出《中标通知书》。中标通知书对采购人和中标人具有同等法律效力。</w:t>
      </w:r>
    </w:p>
    <w:p>
      <w:pPr>
        <w:adjustRightInd w:val="0"/>
        <w:snapToGrid w:val="0"/>
        <w:spacing w:line="360" w:lineRule="auto"/>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32.履约担保</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32.1</w:t>
      </w:r>
      <w:r>
        <w:rPr>
          <w:rFonts w:hint="eastAsia" w:ascii="宋体" w:hAnsi="宋体" w:cs="宋体"/>
          <w:color w:val="000000" w:themeColor="text1"/>
          <w:szCs w:val="21"/>
          <w14:textFill>
            <w14:solidFill>
              <w14:schemeClr w14:val="tx1"/>
            </w14:solidFill>
          </w14:textFill>
        </w:rPr>
        <w:t>中标人在收到采购代理机构的《中标通知书》后，需向采购人提交履约担保的，应按照</w:t>
      </w:r>
      <w:r>
        <w:rPr>
          <w:rFonts w:hint="eastAsia" w:ascii="宋体" w:hAnsi="宋体" w:cs="宋体"/>
          <w:b/>
          <w:color w:val="000000" w:themeColor="text1"/>
          <w:szCs w:val="21"/>
          <w14:textFill>
            <w14:solidFill>
              <w14:schemeClr w14:val="tx1"/>
            </w14:solidFill>
          </w14:textFill>
        </w:rPr>
        <w:t>招标文件前附表</w:t>
      </w:r>
      <w:r>
        <w:rPr>
          <w:rFonts w:hint="eastAsia" w:ascii="宋体" w:hAnsi="宋体" w:cs="宋体"/>
          <w:color w:val="000000" w:themeColor="text1"/>
          <w:szCs w:val="21"/>
          <w14:textFill>
            <w14:solidFill>
              <w14:schemeClr w14:val="tx1"/>
            </w14:solidFill>
          </w14:textFill>
        </w:rPr>
        <w:t>的规定提交。联合体中标的，履约担保由联合体各方或联合体中牵头人的名义提交。</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 中标人</w:t>
      </w:r>
      <w:r>
        <w:rPr>
          <w:rFonts w:hint="eastAsia" w:ascii="宋体" w:hAnsi="宋体" w:cs="宋体"/>
          <w:color w:val="000000" w:themeColor="text1"/>
          <w:spacing w:val="4"/>
          <w:szCs w:val="21"/>
          <w14:textFill>
            <w14:solidFill>
              <w14:schemeClr w14:val="tx1"/>
            </w14:solidFill>
          </w14:textFill>
        </w:rPr>
        <w:t>没有按照本章第32.1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pacing w:val="4"/>
          <w:szCs w:val="21"/>
          <w14:textFill>
            <w14:solidFill>
              <w14:schemeClr w14:val="tx1"/>
            </w14:solidFill>
          </w14:textFill>
        </w:rPr>
        <w:t>规定</w:t>
      </w:r>
      <w:r>
        <w:rPr>
          <w:rFonts w:hint="eastAsia" w:ascii="宋体" w:hAnsi="宋体" w:cs="宋体"/>
          <w:color w:val="000000" w:themeColor="text1"/>
          <w:szCs w:val="21"/>
          <w14:textFill>
            <w14:solidFill>
              <w14:schemeClr w14:val="tx1"/>
            </w14:solidFill>
          </w14:textFill>
        </w:rPr>
        <w:t>提交履约担保的</w:t>
      </w:r>
      <w:r>
        <w:rPr>
          <w:rFonts w:hint="eastAsia" w:ascii="宋体" w:hAnsi="宋体" w:cs="宋体"/>
          <w:color w:val="000000" w:themeColor="text1"/>
          <w:spacing w:val="4"/>
          <w:szCs w:val="21"/>
          <w14:textFill>
            <w14:solidFill>
              <w14:schemeClr w14:val="tx1"/>
            </w14:solidFill>
          </w14:textFill>
        </w:rPr>
        <w:t>，视为放弃中标</w:t>
      </w:r>
      <w:r>
        <w:rPr>
          <w:rFonts w:hint="eastAsia" w:ascii="宋体" w:hAnsi="宋体" w:cs="宋体"/>
          <w:color w:val="000000" w:themeColor="text1"/>
          <w:spacing w:val="2"/>
          <w:szCs w:val="21"/>
          <w14:textFill>
            <w14:solidFill>
              <w14:schemeClr w14:val="tx1"/>
            </w14:solidFill>
          </w14:textFill>
        </w:rPr>
        <w:t>。</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33.签订合同</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 采购人应自中标通知书发出之日起五个工作日内，按中标通知书指定的时间、地点与中标人签订政府采购合同。</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 招标文件、中标人的投标文件均为签订合同的依据。</w:t>
      </w:r>
    </w:p>
    <w:p>
      <w:pPr>
        <w:adjustRightInd w:val="0"/>
        <w:snapToGrid w:val="0"/>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33.3 中标人</w:t>
      </w:r>
      <w:r>
        <w:rPr>
          <w:rFonts w:hint="eastAsia" w:ascii="宋体" w:hAnsi="宋体" w:cs="宋体"/>
          <w:bCs/>
          <w:color w:val="000000" w:themeColor="text1"/>
          <w:szCs w:val="21"/>
          <w14:textFill>
            <w14:solidFill>
              <w14:schemeClr w14:val="tx1"/>
            </w14:solidFill>
          </w14:textFill>
        </w:rPr>
        <w:t>应当按照合同约定履行义务。</w:t>
      </w:r>
      <w:r>
        <w:rPr>
          <w:rFonts w:hint="eastAsia" w:ascii="宋体" w:hAnsi="宋体" w:cs="宋体"/>
          <w:color w:val="000000" w:themeColor="text1"/>
          <w:szCs w:val="21"/>
          <w14:textFill>
            <w14:solidFill>
              <w14:schemeClr w14:val="tx1"/>
            </w14:solidFill>
          </w14:textFill>
        </w:rPr>
        <w:t>中标人</w:t>
      </w:r>
      <w:r>
        <w:rPr>
          <w:rFonts w:hint="eastAsia" w:ascii="宋体" w:hAnsi="宋体" w:cs="宋体"/>
          <w:bCs/>
          <w:color w:val="000000" w:themeColor="text1"/>
          <w:szCs w:val="21"/>
          <w14:textFill>
            <w14:solidFill>
              <w14:schemeClr w14:val="tx1"/>
            </w14:solidFill>
          </w14:textFill>
        </w:rPr>
        <w:t>不得向他人分包中标项目（</w:t>
      </w:r>
      <w:r>
        <w:rPr>
          <w:rFonts w:hint="eastAsia" w:ascii="宋体" w:hAnsi="宋体" w:cs="宋体"/>
          <w:color w:val="000000" w:themeColor="text1"/>
          <w:szCs w:val="21"/>
          <w14:textFill>
            <w14:solidFill>
              <w14:schemeClr w14:val="tx1"/>
            </w14:solidFill>
          </w14:textFill>
        </w:rPr>
        <w:t>政府采购支持中小企业发展等政策规定的除外</w:t>
      </w:r>
      <w:r>
        <w:rPr>
          <w:rFonts w:hint="eastAsia" w:ascii="宋体" w:hAnsi="宋体" w:cs="宋体"/>
          <w:bCs/>
          <w:color w:val="000000" w:themeColor="text1"/>
          <w:szCs w:val="21"/>
          <w14:textFill>
            <w14:solidFill>
              <w14:schemeClr w14:val="tx1"/>
            </w14:solidFill>
          </w14:textFill>
        </w:rPr>
        <w:t>）。</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34.</w:t>
      </w:r>
      <w:r>
        <w:rPr>
          <w:rFonts w:hint="eastAsia" w:ascii="宋体" w:hAnsi="宋体" w:cs="宋体"/>
          <w:b/>
          <w:color w:val="000000" w:themeColor="text1"/>
          <w:szCs w:val="21"/>
          <w14:textFill>
            <w14:solidFill>
              <w14:schemeClr w14:val="tx1"/>
            </w14:solidFill>
          </w14:textFill>
        </w:rPr>
        <w:t>政府采购合同履行中</w:t>
      </w:r>
      <w:r>
        <w:rPr>
          <w:rFonts w:hint="eastAsia" w:ascii="宋体" w:hAnsi="宋体" w:cs="宋体"/>
          <w:b/>
          <w:bCs/>
          <w:color w:val="000000" w:themeColor="text1"/>
          <w:szCs w:val="21"/>
          <w14:textFill>
            <w14:solidFill>
              <w14:schemeClr w14:val="tx1"/>
            </w14:solidFill>
          </w14:textFill>
        </w:rPr>
        <w:t>数量的变更</w:t>
      </w:r>
    </w:p>
    <w:p>
      <w:pPr>
        <w:pStyle w:val="14"/>
        <w:adjustRightInd w:val="0"/>
        <w:snapToGrid w:val="0"/>
        <w:spacing w:line="360" w:lineRule="auto"/>
        <w:ind w:firstLine="424" w:firstLineChars="200"/>
        <w:jc w:val="left"/>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34.1政府采购合同履行中，采购人需追加与合同标的相同的货物服务的，在不改变合同其他条款的前提下，可以与中标人协商签订补充合同，但所有补充合同的采购金额不得超过原合同采购金额的百分之十。</w:t>
      </w:r>
    </w:p>
    <w:p>
      <w:pPr>
        <w:pStyle w:val="14"/>
        <w:adjustRightInd w:val="0"/>
        <w:snapToGrid w:val="0"/>
        <w:spacing w:line="360" w:lineRule="auto"/>
        <w:jc w:val="left"/>
        <w:rPr>
          <w:rFonts w:hAnsi="宋体" w:cs="宋体"/>
          <w:b/>
          <w:color w:val="000000" w:themeColor="text1"/>
          <w14:textFill>
            <w14:solidFill>
              <w14:schemeClr w14:val="tx1"/>
            </w14:solidFill>
          </w14:textFill>
        </w:rPr>
      </w:pPr>
    </w:p>
    <w:p>
      <w:pPr>
        <w:adjustRightInd w:val="0"/>
        <w:snapToGrid w:val="0"/>
        <w:spacing w:line="360" w:lineRule="auto"/>
        <w:jc w:val="center"/>
        <w:rPr>
          <w:rFonts w:ascii="宋体" w:hAnsi="宋体" w:cs="宋体"/>
          <w:b/>
          <w:color w:val="000000" w:themeColor="text1"/>
          <w:sz w:val="24"/>
          <w14:textFill>
            <w14:solidFill>
              <w14:schemeClr w14:val="tx1"/>
            </w14:solidFill>
          </w14:textFill>
        </w:rPr>
      </w:pPr>
    </w:p>
    <w:p>
      <w:pPr>
        <w:adjustRightInd w:val="0"/>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八、其他规定</w:t>
      </w:r>
    </w:p>
    <w:p>
      <w:pPr>
        <w:pStyle w:val="14"/>
        <w:spacing w:line="360" w:lineRule="auto"/>
        <w:rPr>
          <w:rFonts w:hAnsi="宋体" w:cs="宋体"/>
          <w:b/>
          <w:bCs/>
          <w:color w:val="000000" w:themeColor="text1"/>
          <w:sz w:val="21"/>
          <w14:textFill>
            <w14:solidFill>
              <w14:schemeClr w14:val="tx1"/>
            </w14:solidFill>
          </w14:textFill>
        </w:rPr>
      </w:pPr>
      <w:r>
        <w:rPr>
          <w:rFonts w:hint="eastAsia" w:hAnsi="宋体" w:cs="宋体"/>
          <w:b/>
          <w:bCs/>
          <w:color w:val="000000" w:themeColor="text1"/>
          <w14:textFill>
            <w14:solidFill>
              <w14:schemeClr w14:val="tx1"/>
            </w14:solidFill>
          </w14:textFill>
        </w:rPr>
        <w:t>35.</w:t>
      </w:r>
      <w:r>
        <w:rPr>
          <w:rFonts w:hint="eastAsia" w:hAnsi="宋体" w:cs="宋体"/>
          <w:b/>
          <w:bCs/>
          <w:color w:val="000000" w:themeColor="text1"/>
          <w:sz w:val="21"/>
          <w14:textFill>
            <w14:solidFill>
              <w14:schemeClr w14:val="tx1"/>
            </w14:solidFill>
          </w14:textFill>
        </w:rPr>
        <w:t>相关优惠政策：</w:t>
      </w:r>
    </w:p>
    <w:p>
      <w:pPr>
        <w:spacing w:line="360" w:lineRule="auto"/>
        <w:ind w:firstLine="42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w:t>
      </w:r>
      <w:r>
        <w:rPr>
          <w:rFonts w:hint="eastAsia" w:ascii="宋体" w:hAnsi="宋体" w:cs="宋体"/>
          <w:b/>
          <w:color w:val="000000" w:themeColor="text1"/>
          <w:szCs w:val="21"/>
          <w14:textFill>
            <w14:solidFill>
              <w14:schemeClr w14:val="tx1"/>
            </w14:solidFill>
          </w14:textFill>
        </w:rPr>
        <w:t>中小企业参加投标</w:t>
      </w:r>
      <w:r>
        <w:rPr>
          <w:rFonts w:hint="eastAsia" w:ascii="宋体" w:hAnsi="宋体" w:cs="宋体"/>
          <w:color w:val="000000" w:themeColor="text1"/>
          <w:szCs w:val="21"/>
          <w14:textFill>
            <w14:solidFill>
              <w14:schemeClr w14:val="tx1"/>
            </w14:solidFill>
          </w14:textFill>
        </w:rPr>
        <w:t xml:space="preserve"> </w:t>
      </w:r>
    </w:p>
    <w:p>
      <w:pPr>
        <w:spacing w:line="360" w:lineRule="auto"/>
        <w:ind w:firstLine="425"/>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按照财政部和工业和信息化部的政府采购促进中小企业发展管理办法》财库〔2020〕46号文件要求执行。</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35.1.1中小企业（含中型、小型、微型企业，下同）应当同时符合以下条件可以享受优惠政策：</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1）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（2）在政府采购活动中，供应商提供的货物、工程或者服务符合下列情形的，享受本办法规定的中小企业扶持政策：</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（一）在货物采购项目中，货物由中小企业制造，即货物由中小企业生产且使用该中小企业商号或者注册商标；</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（二）在工程采购项目中，工程由中小企业承建，即工程施工单位为中小企业；</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（三）在服务采购项目中，服务由中小企业承接，即提供服务的人员为中小企业依照《中华人民共和国劳动合同法》订立劳动合同的从业人员。</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在货物采购项目中，供应商提供的货物既有中小企业制造货物，也有大型企业制造货物的，不享受本办法规定的中小企业扶持政策。</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以联合体形式参加政府采购活动，联合体各方均为中小企业的，联合体视同中小企业。其中，联合体各方均为小微企业的，联合体视同小微企业。</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35.1.2小型、微型企业提供中型企业制造的货物的，视同为中型企业。</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35.1.3提供所有货物为中小企业制造或服务（工程）由中小企业承接的，由投标人提供《中小企业声明函》。</w:t>
      </w:r>
    </w:p>
    <w:p>
      <w:pPr>
        <w:pStyle w:val="23"/>
        <w:spacing w:line="360" w:lineRule="auto"/>
        <w:ind w:firstLine="426"/>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35.1.4采购人在政府采购活动中应当通过加强采购需求管理，落实预留采购份额、价格评审优惠、优先采购等措施，提高中小企业在政府采购中的份额，支持中小企业发展。本项目落实办法见</w:t>
      </w:r>
      <w:r>
        <w:rPr>
          <w:rFonts w:hint="eastAsia" w:ascii="宋体" w:hAnsi="宋体" w:cs="宋体"/>
          <w:b/>
          <w:bCs/>
          <w:color w:val="000000" w:themeColor="text1"/>
          <w:sz w:val="21"/>
          <w:szCs w:val="21"/>
          <w14:textFill>
            <w14:solidFill>
              <w14:schemeClr w14:val="tx1"/>
            </w14:solidFill>
          </w14:textFill>
        </w:rPr>
        <w:t>招标文件前附表。</w:t>
      </w:r>
    </w:p>
    <w:p>
      <w:pPr>
        <w:pStyle w:val="23"/>
        <w:spacing w:line="360" w:lineRule="auto"/>
        <w:ind w:firstLine="0" w:firstLineChars="0"/>
        <w:rPr>
          <w:rFonts w:ascii="宋体" w:hAnsi="宋体" w:cs="宋体"/>
          <w:b/>
          <w:bCs/>
          <w:color w:val="000000" w:themeColor="text1"/>
          <w:kern w:val="0"/>
          <w:sz w:val="20"/>
          <w:szCs w:val="21"/>
          <w14:textFill>
            <w14:solidFill>
              <w14:schemeClr w14:val="tx1"/>
            </w14:solidFill>
          </w14:textFill>
        </w:rPr>
      </w:pPr>
      <w:r>
        <w:rPr>
          <w:rFonts w:hint="eastAsia" w:ascii="宋体" w:hAnsi="宋体" w:cs="宋体"/>
          <w:b/>
          <w:bCs/>
          <w:color w:val="000000" w:themeColor="text1"/>
          <w:kern w:val="0"/>
          <w:sz w:val="20"/>
          <w:szCs w:val="21"/>
          <w14:textFill>
            <w14:solidFill>
              <w14:schemeClr w14:val="tx1"/>
            </w14:solidFill>
          </w14:textFill>
        </w:rPr>
        <w:t xml:space="preserve"> 35.2监狱企业参加投标</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35.2.1监狱企业应当符合以下条件：</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35.2.2监狱企业参加投标须提供的证明材料</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监狱企业参加政府采购活动时，应当提供由省级以上监狱管理局、戒毒管理局（含新疆生产建设兵团）出具的属于监狱企业的证明文件。</w:t>
      </w:r>
    </w:p>
    <w:p>
      <w:pPr>
        <w:spacing w:line="360" w:lineRule="auto"/>
        <w:ind w:firstLine="424"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w:t>
      </w:r>
      <w:r>
        <w:rPr>
          <w:rFonts w:hint="eastAsia" w:ascii="宋体" w:hAnsi="宋体" w:cs="宋体"/>
          <w:b/>
          <w:color w:val="000000" w:themeColor="text1"/>
          <w:szCs w:val="21"/>
          <w14:textFill>
            <w14:solidFill>
              <w14:schemeClr w14:val="tx1"/>
            </w14:solidFill>
          </w14:textFill>
        </w:rPr>
        <w:t>残疾人福利性单位参加投标</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35.3.1享受政府采购支持政策的残疾人福利性单位应当同时满足以下条件</w:t>
      </w:r>
    </w:p>
    <w:p>
      <w:pPr>
        <w:spacing w:line="360" w:lineRule="auto"/>
        <w:ind w:firstLine="636"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（1）安置的残疾人占本单位在职职工人数的比例不低于25%（含25%），并且安置的残疾人人数不少于10人（含10人）；</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（2）依法与安置的每位残疾人签订了一年以上（含一年）的劳动合同或服务协议；</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（3）为安置的每位残疾人按月足额缴纳了基本养老保险、基本医疗保险、失业保险、工伤保险和生育保险等社会保险费；</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（4）通过银行等金融机构向安置的每位残疾人，按月支付了不低于单位所在区县适用的经省级人民政府批准的月最低工资标准的工资；</w:t>
      </w:r>
    </w:p>
    <w:p>
      <w:pPr>
        <w:spacing w:line="360" w:lineRule="auto"/>
        <w:ind w:firstLine="636"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35.3.3残疾人福利性单位参加投标须提供的证明材料</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（1）符合条件的残疾人福利性单位在参加政府采购活动时，应当提供《残疾人福利性单位声明函》，并对声明函的真实性负责。</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（2）投标人提供的《残疾人福利性单位声明函》与事实不符的，依照《政府采购法》第七十七条第一款的规定追究法律责任。</w:t>
      </w:r>
    </w:p>
    <w:p>
      <w:pPr>
        <w:widowControl/>
        <w:tabs>
          <w:tab w:val="left" w:pos="690"/>
          <w:tab w:val="left" w:pos="7560"/>
          <w:tab w:val="left" w:pos="7740"/>
          <w:tab w:val="left" w:pos="7920"/>
        </w:tabs>
        <w:snapToGrid w:val="0"/>
        <w:spacing w:line="360" w:lineRule="auto"/>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36.招标代理服务费</w:t>
      </w:r>
    </w:p>
    <w:p>
      <w:pPr>
        <w:widowControl/>
        <w:tabs>
          <w:tab w:val="left" w:pos="420"/>
          <w:tab w:val="left" w:pos="7560"/>
          <w:tab w:val="left" w:pos="7740"/>
          <w:tab w:val="left" w:pos="7920"/>
        </w:tabs>
        <w:snapToGrid w:val="0"/>
        <w:spacing w:line="360" w:lineRule="auto"/>
        <w:ind w:firstLine="42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36.1中标人应按</w:t>
      </w:r>
      <w:r>
        <w:rPr>
          <w:rFonts w:hint="eastAsia" w:ascii="宋体" w:hAnsi="宋体" w:cs="宋体"/>
          <w:b/>
          <w:color w:val="000000" w:themeColor="text1"/>
          <w14:textFill>
            <w14:solidFill>
              <w14:schemeClr w14:val="tx1"/>
            </w14:solidFill>
          </w14:textFill>
        </w:rPr>
        <w:t>招标文件前附表</w:t>
      </w:r>
      <w:r>
        <w:rPr>
          <w:rFonts w:hint="eastAsia" w:ascii="宋体" w:hAnsi="宋体" w:cs="宋体"/>
          <w:color w:val="000000" w:themeColor="text1"/>
          <w14:textFill>
            <w14:solidFill>
              <w14:schemeClr w14:val="tx1"/>
            </w14:solidFill>
          </w14:textFill>
        </w:rPr>
        <w:t>规定交纳采购代理服务费。</w:t>
      </w:r>
    </w:p>
    <w:p>
      <w:pPr>
        <w:widowControl/>
        <w:numPr>
          <w:ilvl w:val="0"/>
          <w:numId w:val="4"/>
        </w:numPr>
        <w:tabs>
          <w:tab w:val="left" w:pos="420"/>
          <w:tab w:val="left" w:pos="7560"/>
          <w:tab w:val="left" w:pos="7740"/>
          <w:tab w:val="left" w:pos="7920"/>
          <w:tab w:val="clear" w:pos="312"/>
        </w:tabs>
        <w:snapToGrid w:val="0"/>
        <w:spacing w:line="360" w:lineRule="auto"/>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其他规定</w:t>
      </w:r>
    </w:p>
    <w:p>
      <w:pPr>
        <w:pStyle w:val="14"/>
        <w:adjustRightInd w:val="0"/>
        <w:snapToGrid w:val="0"/>
        <w:spacing w:line="360" w:lineRule="auto"/>
        <w:ind w:firstLine="424" w:firstLineChars="200"/>
        <w:jc w:val="left"/>
        <w:rPr>
          <w:rFonts w:hAnsi="宋体" w:cs="宋体"/>
          <w:color w:val="000000" w:themeColor="text1"/>
          <w:kern w:val="2"/>
          <w:sz w:val="21"/>
          <w14:textFill>
            <w14:solidFill>
              <w14:schemeClr w14:val="tx1"/>
            </w14:solidFill>
          </w14:textFill>
        </w:rPr>
        <w:sectPr>
          <w:footerReference r:id="rId9" w:type="first"/>
          <w:footerReference r:id="rId8" w:type="default"/>
          <w:pgSz w:w="11906" w:h="16838"/>
          <w:pgMar w:top="1417" w:right="1417" w:bottom="1417" w:left="1417" w:header="851" w:footer="992" w:gutter="113"/>
          <w:cols w:space="720" w:num="1"/>
          <w:titlePg/>
          <w:docGrid w:type="linesAndChars" w:linePitch="326" w:charSpace="614"/>
        </w:sectPr>
      </w:pPr>
    </w:p>
    <w:p>
      <w:pPr>
        <w:pStyle w:val="4"/>
        <w:numPr>
          <w:ilvl w:val="0"/>
          <w:numId w:val="1"/>
        </w:numPr>
        <w:rPr>
          <w:rFonts w:ascii="宋体" w:hAnsi="宋体" w:cs="宋体"/>
          <w:color w:val="000000" w:themeColor="text1"/>
          <w14:textFill>
            <w14:solidFill>
              <w14:schemeClr w14:val="tx1"/>
            </w14:solidFill>
          </w14:textFill>
        </w:rPr>
      </w:pPr>
      <w:bookmarkStart w:id="41" w:name="_Toc17925"/>
      <w:bookmarkStart w:id="42" w:name="_Toc18331"/>
      <w:r>
        <w:rPr>
          <w:rFonts w:hint="eastAsia" w:ascii="宋体" w:hAnsi="宋体" w:cs="宋体"/>
          <w:color w:val="000000" w:themeColor="text1"/>
          <w14:textFill>
            <w14:solidFill>
              <w14:schemeClr w14:val="tx1"/>
            </w14:solidFill>
          </w14:textFill>
        </w:rPr>
        <w:t>评标方法及标准(综合评分法适用)</w:t>
      </w:r>
      <w:bookmarkEnd w:id="41"/>
      <w:bookmarkEnd w:id="42"/>
    </w:p>
    <w:p>
      <w:pPr>
        <w:adjustRightInd w:val="0"/>
        <w:snapToGrid w:val="0"/>
        <w:spacing w:line="360" w:lineRule="auto"/>
        <w:rPr>
          <w:rFonts w:ascii="宋体" w:hAnsi="宋体" w:cs="宋体"/>
          <w:b/>
          <w:bCs/>
          <w:color w:val="000000" w:themeColor="text1"/>
          <w:szCs w:val="21"/>
          <w14:textFill>
            <w14:solidFill>
              <w14:schemeClr w14:val="tx1"/>
            </w14:solidFill>
          </w14:textFill>
        </w:rPr>
      </w:pP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w:t>
      </w:r>
      <w:r>
        <w:rPr>
          <w:rFonts w:hint="eastAsia" w:ascii="宋体" w:hAnsi="宋体" w:cs="宋体"/>
          <w:b/>
          <w:color w:val="000000" w:themeColor="text1"/>
          <w:szCs w:val="21"/>
          <w14:textFill>
            <w14:solidFill>
              <w14:schemeClr w14:val="tx1"/>
            </w14:solidFill>
          </w14:textFill>
        </w:rPr>
        <w:t>总则</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1.评标委员会</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1.1采购人或采购代理机构依据相关法律法规抽取评审专家，评标由依法组成的评标委员会负责。</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评标方法</w:t>
      </w:r>
    </w:p>
    <w:p>
      <w:pPr>
        <w:tabs>
          <w:tab w:val="left" w:pos="0"/>
        </w:tabs>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2.1评标方法：综合评分法，即投标文件能够最大限度的满足招标文件规定的各项综合评价标准且经评审得分最高的投标人为中标候选人的评标方法。</w:t>
      </w:r>
    </w:p>
    <w:p>
      <w:pPr>
        <w:tabs>
          <w:tab w:val="left" w:pos="0"/>
        </w:tabs>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2.2本采购项目</w:t>
      </w:r>
      <w:r>
        <w:rPr>
          <w:rFonts w:hint="eastAsia" w:ascii="宋体" w:hAnsi="宋体" w:cs="宋体"/>
          <w:color w:val="000000" w:themeColor="text1"/>
          <w:szCs w:val="21"/>
          <w14:textFill>
            <w14:solidFill>
              <w14:schemeClr w14:val="tx1"/>
            </w14:solidFill>
          </w14:textFill>
        </w:rPr>
        <w:t>的评标因素和标准见</w:t>
      </w:r>
      <w:r>
        <w:rPr>
          <w:rFonts w:hint="eastAsia" w:ascii="宋体" w:hAnsi="宋体" w:cs="宋体"/>
          <w:b/>
          <w:bCs/>
          <w:color w:val="000000" w:themeColor="text1"/>
          <w:szCs w:val="21"/>
          <w14:textFill>
            <w14:solidFill>
              <w14:schemeClr w14:val="tx1"/>
            </w14:solidFill>
          </w14:textFill>
        </w:rPr>
        <w:t>附件</w:t>
      </w:r>
      <w:r>
        <w:rPr>
          <w:rFonts w:hint="eastAsia" w:ascii="宋体" w:hAnsi="宋体" w:cs="宋体"/>
          <w:b/>
          <w:color w:val="000000" w:themeColor="text1"/>
          <w:szCs w:val="21"/>
          <w14:textFill>
            <w14:solidFill>
              <w14:schemeClr w14:val="tx1"/>
            </w14:solidFill>
          </w14:textFill>
        </w:rPr>
        <w:t>。</w:t>
      </w:r>
    </w:p>
    <w:p>
      <w:pPr>
        <w:tabs>
          <w:tab w:val="left" w:pos="0"/>
        </w:tabs>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评标因素：价格、技术、财务状况、信誉、业绩、服务、对招标文件的响应程度，以及相应的比重或者权值等，但不包括第三章“投标须知”第3.1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规定的投标人资格条件。</w:t>
      </w:r>
    </w:p>
    <w:p>
      <w:pPr>
        <w:tabs>
          <w:tab w:val="left" w:pos="0"/>
        </w:tabs>
        <w:adjustRightInd w:val="0"/>
        <w:snapToGrid w:val="0"/>
        <w:spacing w:line="360" w:lineRule="auto"/>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二、评标程序</w:t>
      </w:r>
    </w:p>
    <w:p>
      <w:pPr>
        <w:adjustRightInd w:val="0"/>
        <w:snapToGrid w:val="0"/>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3.投标文件的初步</w:t>
      </w:r>
      <w:r>
        <w:rPr>
          <w:rFonts w:hint="eastAsia" w:ascii="宋体" w:hAnsi="宋体" w:cs="宋体"/>
          <w:b/>
          <w:color w:val="000000" w:themeColor="text1"/>
          <w:szCs w:val="21"/>
          <w14:textFill>
            <w14:solidFill>
              <w14:schemeClr w14:val="tx1"/>
            </w14:solidFill>
          </w14:textFill>
        </w:rPr>
        <w:t>评审</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3.1初步</w:t>
      </w:r>
      <w:r>
        <w:rPr>
          <w:rFonts w:hint="eastAsia" w:ascii="宋体" w:hAnsi="宋体" w:cs="宋体"/>
          <w:color w:val="000000" w:themeColor="text1"/>
          <w:szCs w:val="21"/>
          <w14:textFill>
            <w14:solidFill>
              <w14:schemeClr w14:val="tx1"/>
            </w14:solidFill>
          </w14:textFill>
        </w:rPr>
        <w:t>评审分为资格性检查和符合性检查。</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资格性检查。采购人或采购代理根据法律法规和招标文件的规定，对投标文件中的资格证明、投标保证金等进行审查，以确定投标人是否具备投标资格。</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符合性检查。评标委员会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(3)投标人不得通过修正或撤销不合要求的偏离从而使其投标成为实质上响应的投标。</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 投标文件属下列情况之一的，应当在资格性、符合性检查时按照无效投标处理，无效投标的情况须集中列示：</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（1）未按照招标文件规定要求签署、盖章的；</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（2）联合体没有提交联合体协议书</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或未提交联合体各方资格证明文件</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或联合体</w:t>
      </w:r>
      <w:r>
        <w:rPr>
          <w:rFonts w:hint="eastAsia" w:ascii="宋体" w:hAnsi="宋体" w:cs="宋体"/>
          <w:color w:val="000000" w:themeColor="text1"/>
          <w:kern w:val="0"/>
          <w:szCs w:val="21"/>
          <w14:textFill>
            <w14:solidFill>
              <w14:schemeClr w14:val="tx1"/>
            </w14:solidFill>
          </w14:textFill>
        </w:rPr>
        <w:t>牵头方</w:t>
      </w:r>
      <w:r>
        <w:rPr>
          <w:rFonts w:hint="eastAsia" w:ascii="宋体" w:hAnsi="宋体" w:cs="宋体"/>
          <w:color w:val="000000" w:themeColor="text1"/>
          <w:szCs w:val="21"/>
          <w14:textFill>
            <w14:solidFill>
              <w14:schemeClr w14:val="tx1"/>
            </w14:solidFill>
          </w14:textFill>
        </w:rPr>
        <w:t>不符合第三章“投标须知”第3.1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规定的投标人资格条件</w:t>
      </w:r>
      <w:r>
        <w:rPr>
          <w:rFonts w:hint="eastAsia" w:ascii="宋体" w:hAnsi="宋体" w:cs="宋体"/>
          <w:bCs/>
          <w:color w:val="000000" w:themeColor="text1"/>
          <w:szCs w:val="21"/>
          <w14:textFill>
            <w14:solidFill>
              <w14:schemeClr w14:val="tx1"/>
            </w14:solidFill>
          </w14:textFill>
        </w:rPr>
        <w:t>的；</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（3）参加政府采购活动前三年内，在经营活动中有重大违法记录的；</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（4）不具备第三章“投标须知”第3.1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规定的投标人资格要求的；</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（5）不满足第三章“投标须知”第10.1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、第10.2</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bCs/>
          <w:color w:val="000000" w:themeColor="text1"/>
          <w:szCs w:val="21"/>
          <w14:textFill>
            <w14:solidFill>
              <w14:schemeClr w14:val="tx1"/>
            </w14:solidFill>
          </w14:textFill>
        </w:rPr>
        <w:t>规定的</w:t>
      </w:r>
      <w:r>
        <w:rPr>
          <w:rFonts w:hint="eastAsia" w:ascii="宋体" w:hAnsi="宋体" w:cs="宋体"/>
          <w:color w:val="000000" w:themeColor="text1"/>
          <w:szCs w:val="21"/>
          <w14:textFill>
            <w14:solidFill>
              <w14:schemeClr w14:val="tx1"/>
            </w14:solidFill>
          </w14:textFill>
        </w:rPr>
        <w:t>实质性要求的；</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（6）投标报价超过采购项目预算的；</w:t>
      </w:r>
    </w:p>
    <w:p>
      <w:pPr>
        <w:tabs>
          <w:tab w:val="left" w:pos="3105"/>
        </w:tabs>
        <w:adjustRightInd w:val="0"/>
        <w:snapToGrid w:val="0"/>
        <w:spacing w:line="360" w:lineRule="auto"/>
        <w:ind w:firstLine="424"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投标文件载明的投标范围小于招标文件规定的招标范围的(</w:t>
      </w:r>
      <w:r>
        <w:rPr>
          <w:rFonts w:hint="eastAsia" w:ascii="宋体" w:hAnsi="宋体" w:cs="宋体"/>
          <w:color w:val="000000" w:themeColor="text1"/>
          <w:szCs w:val="21"/>
          <w14:textFill>
            <w14:solidFill>
              <w14:schemeClr w14:val="tx1"/>
            </w14:solidFill>
          </w14:textFill>
        </w:rPr>
        <w:t>缺漏招标文件所要求的内容)</w:t>
      </w:r>
      <w:r>
        <w:rPr>
          <w:rFonts w:hint="eastAsia" w:ascii="宋体" w:hAnsi="宋体" w:cs="宋体"/>
          <w:color w:val="000000" w:themeColor="text1"/>
          <w:kern w:val="0"/>
          <w:szCs w:val="21"/>
          <w14:textFill>
            <w14:solidFill>
              <w14:schemeClr w14:val="tx1"/>
            </w14:solidFill>
          </w14:textFill>
        </w:rPr>
        <w:t>；</w:t>
      </w:r>
    </w:p>
    <w:p>
      <w:pPr>
        <w:tabs>
          <w:tab w:val="left" w:pos="3105"/>
        </w:tabs>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（8）投标有效期不足的；</w:t>
      </w:r>
    </w:p>
    <w:p>
      <w:pPr>
        <w:tabs>
          <w:tab w:val="left" w:pos="3105"/>
        </w:tabs>
        <w:adjustRightInd w:val="0"/>
        <w:snapToGrid w:val="0"/>
        <w:spacing w:line="360" w:lineRule="auto"/>
        <w:ind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（9）不符合法律、法规和招标文件规定的。</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 有下列情形之一时，评标委员会应予废标，并将理由通知所有投标人。废标的情形须集中列示：</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（1）符合专业条件的投标人或者对招标文件作实质性响应的投标人不足三家的；</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（2）出现影响采购公正的违法、违规行为的；</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（3）投标人的报价均超过了采购预算；</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（4）因重大变故，采购任务取消的。</w:t>
      </w:r>
    </w:p>
    <w:p>
      <w:pPr>
        <w:spacing w:line="360" w:lineRule="auto"/>
        <w:ind w:firstLine="424"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3.4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非单一产品采购项目，采购人应当根据采购项目技术构成、产品价格比重等合理确定核心产品，并在招标文件中载明。多家投标人提供的核心产品品牌相同的，按前两款规定处理。</w:t>
      </w:r>
    </w:p>
    <w:p>
      <w:pPr>
        <w:adjustRightInd w:val="0"/>
        <w:snapToGrid w:val="0"/>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4.澄清有关问题</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 投标人的澄清、说明或者补正应该采用书面形式，由法定代表人或其授权的代理人签字，并按评标委员会的通知要求递交。</w:t>
      </w:r>
    </w:p>
    <w:p>
      <w:pPr>
        <w:tabs>
          <w:tab w:val="left" w:pos="0"/>
        </w:tabs>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 有效的书面澄清材料，是投标文件的补充材料，成为投标文件的组成部分。</w:t>
      </w:r>
    </w:p>
    <w:p>
      <w:pPr>
        <w:tabs>
          <w:tab w:val="left" w:pos="0"/>
        </w:tabs>
        <w:adjustRightInd w:val="0"/>
        <w:snapToGrid w:val="0"/>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5.比较与评价</w:t>
      </w:r>
    </w:p>
    <w:p>
      <w:pPr>
        <w:tabs>
          <w:tab w:val="left" w:pos="0"/>
        </w:tabs>
        <w:adjustRightInd w:val="0"/>
        <w:snapToGrid w:val="0"/>
        <w:spacing w:line="360" w:lineRule="auto"/>
        <w:ind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5.1评标委员会应按照招标文件中规定的评标方法、</w:t>
      </w:r>
      <w:r>
        <w:rPr>
          <w:rFonts w:hint="eastAsia" w:ascii="宋体" w:hAnsi="宋体" w:cs="宋体"/>
          <w:color w:val="000000" w:themeColor="text1"/>
          <w:szCs w:val="21"/>
          <w14:textFill>
            <w14:solidFill>
              <w14:schemeClr w14:val="tx1"/>
            </w14:solidFill>
          </w14:textFill>
        </w:rPr>
        <w:t>标准和评标因素，</w:t>
      </w:r>
      <w:r>
        <w:rPr>
          <w:rFonts w:hint="eastAsia" w:ascii="宋体" w:hAnsi="宋体" w:cs="宋体"/>
          <w:bCs/>
          <w:color w:val="000000" w:themeColor="text1"/>
          <w:szCs w:val="21"/>
          <w14:textFill>
            <w14:solidFill>
              <w14:schemeClr w14:val="tx1"/>
            </w14:solidFill>
          </w14:textFill>
        </w:rPr>
        <w:t>对</w:t>
      </w:r>
      <w:r>
        <w:rPr>
          <w:rFonts w:hint="eastAsia" w:ascii="宋体" w:hAnsi="宋体" w:cs="宋体"/>
          <w:color w:val="000000" w:themeColor="text1"/>
          <w:szCs w:val="21"/>
          <w14:textFill>
            <w14:solidFill>
              <w14:schemeClr w14:val="tx1"/>
            </w14:solidFill>
          </w14:textFill>
        </w:rPr>
        <w:t>资格性检查和符合性检查</w:t>
      </w:r>
      <w:r>
        <w:rPr>
          <w:rFonts w:hint="eastAsia" w:ascii="宋体" w:hAnsi="宋体" w:cs="宋体"/>
          <w:bCs/>
          <w:color w:val="000000" w:themeColor="text1"/>
          <w:szCs w:val="21"/>
          <w14:textFill>
            <w14:solidFill>
              <w14:schemeClr w14:val="tx1"/>
            </w14:solidFill>
          </w14:textFill>
        </w:rPr>
        <w:t>合格的投标文件进行评估，综合比较与评价。</w:t>
      </w:r>
    </w:p>
    <w:p>
      <w:pPr>
        <w:widowControl/>
        <w:adjustRightInd w:val="0"/>
        <w:snapToGrid w:val="0"/>
        <w:spacing w:line="360" w:lineRule="auto"/>
        <w:ind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5.2</w:t>
      </w:r>
      <w:r>
        <w:rPr>
          <w:rFonts w:hint="eastAsia" w:ascii="宋体" w:hAnsi="宋体" w:cs="宋体"/>
          <w:color w:val="000000" w:themeColor="text1"/>
          <w:szCs w:val="21"/>
          <w14:textFill>
            <w14:solidFill>
              <w14:schemeClr w14:val="tx1"/>
            </w14:solidFill>
          </w14:textFill>
        </w:rPr>
        <w:t>投标报价评价。评标委员会以开标时承认的投标报价为基础，</w:t>
      </w:r>
      <w:r>
        <w:rPr>
          <w:rFonts w:hint="eastAsia" w:ascii="宋体" w:hAnsi="宋体" w:cs="宋体"/>
          <w:color w:val="000000" w:themeColor="text1"/>
          <w:kern w:val="0"/>
          <w:szCs w:val="21"/>
          <w14:textFill>
            <w14:solidFill>
              <w14:schemeClr w14:val="tx1"/>
            </w14:solidFill>
          </w14:textFill>
        </w:rPr>
        <w:t>依次</w:t>
      </w:r>
      <w:r>
        <w:rPr>
          <w:rFonts w:hint="eastAsia" w:ascii="宋体" w:hAnsi="宋体" w:cs="宋体"/>
          <w:color w:val="000000" w:themeColor="text1"/>
          <w:szCs w:val="21"/>
          <w14:textFill>
            <w14:solidFill>
              <w14:schemeClr w14:val="tx1"/>
            </w14:solidFill>
          </w14:textFill>
        </w:rPr>
        <w:t>对投标报价进行</w:t>
      </w:r>
      <w:r>
        <w:rPr>
          <w:rFonts w:hint="eastAsia" w:ascii="宋体" w:hAnsi="宋体" w:cs="宋体"/>
          <w:color w:val="000000" w:themeColor="text1"/>
          <w:kern w:val="0"/>
          <w:szCs w:val="21"/>
          <w14:textFill>
            <w14:solidFill>
              <w14:schemeClr w14:val="tx1"/>
            </w14:solidFill>
          </w14:textFill>
        </w:rPr>
        <w:t>算术</w:t>
      </w:r>
      <w:r>
        <w:rPr>
          <w:rFonts w:hint="eastAsia" w:ascii="宋体" w:hAnsi="宋体" w:cs="宋体"/>
          <w:color w:val="000000" w:themeColor="text1"/>
          <w:szCs w:val="21"/>
          <w14:textFill>
            <w14:solidFill>
              <w14:schemeClr w14:val="tx1"/>
            </w14:solidFill>
          </w14:textFill>
        </w:rPr>
        <w:t>修正和政府采购政策优惠价格扣除计算。</w:t>
      </w:r>
    </w:p>
    <w:p>
      <w:pPr>
        <w:widowControl/>
        <w:adjustRightInd w:val="0"/>
        <w:snapToGrid w:val="0"/>
        <w:spacing w:line="360" w:lineRule="auto"/>
        <w:ind w:firstLine="424"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5.3</w:t>
      </w:r>
      <w:r>
        <w:rPr>
          <w:rFonts w:hint="eastAsia" w:ascii="宋体" w:hAnsi="宋体" w:cs="宋体"/>
          <w:color w:val="000000" w:themeColor="text1"/>
          <w:kern w:val="0"/>
          <w:szCs w:val="21"/>
          <w14:textFill>
            <w14:solidFill>
              <w14:schemeClr w14:val="tx1"/>
            </w14:solidFill>
          </w14:textFill>
        </w:rPr>
        <w:t>价格分采用低价优先法计算，即满足招标文件要求且投标价格最低的投标报价为评标基准价，其价格分为满分，其他</w:t>
      </w:r>
      <w:r>
        <w:rPr>
          <w:rFonts w:hint="eastAsia" w:ascii="宋体" w:hAnsi="宋体" w:cs="宋体"/>
          <w:color w:val="000000" w:themeColor="text1"/>
          <w:szCs w:val="21"/>
          <w14:textFill>
            <w14:solidFill>
              <w14:schemeClr w14:val="tx1"/>
            </w14:solidFill>
          </w14:textFill>
        </w:rPr>
        <w:t>有效</w:t>
      </w:r>
      <w:r>
        <w:rPr>
          <w:rFonts w:hint="eastAsia" w:ascii="宋体" w:hAnsi="宋体" w:cs="宋体"/>
          <w:color w:val="000000" w:themeColor="text1"/>
          <w:kern w:val="0"/>
          <w:szCs w:val="21"/>
          <w14:textFill>
            <w14:solidFill>
              <w14:schemeClr w14:val="tx1"/>
            </w14:solidFill>
          </w14:textFill>
        </w:rPr>
        <w:t>投标人的价格分按照下列公式计算：</w:t>
      </w:r>
    </w:p>
    <w:p>
      <w:pPr>
        <w:widowControl/>
        <w:adjustRightInd w:val="0"/>
        <w:snapToGrid w:val="0"/>
        <w:spacing w:line="360" w:lineRule="auto"/>
        <w:ind w:firstLine="424"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投标报价得分=(评标基准价／投标报价)×价格权值×100</w:t>
      </w:r>
    </w:p>
    <w:p>
      <w:pPr>
        <w:widowControl/>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本项所称投标报价为按</w:t>
      </w:r>
      <w:r>
        <w:rPr>
          <w:rFonts w:hint="eastAsia" w:ascii="宋体" w:hAnsi="宋体" w:cs="宋体"/>
          <w:bCs/>
          <w:color w:val="000000" w:themeColor="text1"/>
          <w:szCs w:val="21"/>
          <w14:textFill>
            <w14:solidFill>
              <w14:schemeClr w14:val="tx1"/>
            </w14:solidFill>
          </w14:textFill>
        </w:rPr>
        <w:t>本章第5.2</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bCs/>
          <w:color w:val="000000" w:themeColor="text1"/>
          <w:szCs w:val="21"/>
          <w14:textFill>
            <w14:solidFill>
              <w14:schemeClr w14:val="tx1"/>
            </w14:solidFill>
          </w14:textFill>
        </w:rPr>
        <w:t>规定</w:t>
      </w:r>
      <w:r>
        <w:rPr>
          <w:rFonts w:hint="eastAsia" w:ascii="宋体" w:hAnsi="宋体" w:cs="宋体"/>
          <w:color w:val="000000" w:themeColor="text1"/>
          <w:szCs w:val="21"/>
          <w14:textFill>
            <w14:solidFill>
              <w14:schemeClr w14:val="tx1"/>
            </w14:solidFill>
          </w14:textFill>
        </w:rPr>
        <w:t>评价后的投标报价。</w:t>
      </w:r>
    </w:p>
    <w:p>
      <w:pPr>
        <w:widowControl/>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5.4</w:t>
      </w:r>
      <w:r>
        <w:rPr>
          <w:rFonts w:hint="eastAsia" w:ascii="宋体" w:hAnsi="宋体" w:cs="宋体"/>
          <w:color w:val="000000" w:themeColor="text1"/>
          <w:szCs w:val="21"/>
          <w14:textFill>
            <w14:solidFill>
              <w14:schemeClr w14:val="tx1"/>
            </w14:solidFill>
          </w14:textFill>
        </w:rPr>
        <w:t>涉及政府采购政策优惠的，</w:t>
      </w:r>
      <w:r>
        <w:rPr>
          <w:rFonts w:hint="eastAsia" w:ascii="宋体" w:hAnsi="宋体" w:cs="宋体"/>
          <w:bCs/>
          <w:color w:val="000000" w:themeColor="text1"/>
          <w:szCs w:val="21"/>
          <w14:textFill>
            <w14:solidFill>
              <w14:schemeClr w14:val="tx1"/>
            </w14:solidFill>
          </w14:textFill>
        </w:rPr>
        <w:t>按</w:t>
      </w:r>
      <w:r>
        <w:rPr>
          <w:rFonts w:hint="eastAsia" w:ascii="宋体" w:hAnsi="宋体" w:cs="宋体"/>
          <w:b/>
          <w:color w:val="000000" w:themeColor="text1"/>
          <w:szCs w:val="21"/>
          <w14:textFill>
            <w14:solidFill>
              <w14:schemeClr w14:val="tx1"/>
            </w14:solidFill>
          </w14:textFill>
        </w:rPr>
        <w:t>招标文件前附表</w:t>
      </w:r>
      <w:r>
        <w:rPr>
          <w:rFonts w:hint="eastAsia" w:ascii="宋体" w:hAnsi="宋体" w:cs="宋体"/>
          <w:bCs/>
          <w:color w:val="000000" w:themeColor="text1"/>
          <w:szCs w:val="21"/>
          <w14:textFill>
            <w14:solidFill>
              <w14:schemeClr w14:val="tx1"/>
            </w14:solidFill>
          </w14:textFill>
        </w:rPr>
        <w:t>规定</w:t>
      </w:r>
      <w:r>
        <w:rPr>
          <w:rFonts w:hint="eastAsia" w:ascii="宋体" w:hAnsi="宋体" w:cs="宋体"/>
          <w:color w:val="000000" w:themeColor="text1"/>
          <w:szCs w:val="21"/>
          <w14:textFill>
            <w14:solidFill>
              <w14:schemeClr w14:val="tx1"/>
            </w14:solidFill>
          </w14:textFill>
        </w:rPr>
        <w:t>调整投标人的技术、价格</w:t>
      </w:r>
      <w:r>
        <w:rPr>
          <w:rFonts w:hint="eastAsia" w:ascii="宋体" w:hAnsi="宋体" w:cs="宋体"/>
          <w:color w:val="000000" w:themeColor="text1"/>
          <w:kern w:val="0"/>
          <w:szCs w:val="21"/>
          <w14:textFill>
            <w14:solidFill>
              <w14:schemeClr w14:val="tx1"/>
            </w14:solidFill>
          </w14:textFill>
        </w:rPr>
        <w:t>得分或总得分</w:t>
      </w:r>
      <w:r>
        <w:rPr>
          <w:rFonts w:hint="eastAsia" w:ascii="宋体" w:hAnsi="宋体" w:cs="宋体"/>
          <w:color w:val="000000" w:themeColor="text1"/>
          <w:szCs w:val="21"/>
          <w14:textFill>
            <w14:solidFill>
              <w14:schemeClr w14:val="tx1"/>
            </w14:solidFill>
          </w14:textFill>
        </w:rPr>
        <w:t>(保留小数点后面两位数)。</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5.5涉及多处获得政府采购政策优惠的，涉及调整得分的，</w:t>
      </w:r>
      <w:r>
        <w:rPr>
          <w:rFonts w:hint="eastAsia" w:ascii="宋体" w:hAnsi="宋体" w:cs="宋体"/>
          <w:color w:val="000000" w:themeColor="text1"/>
          <w:kern w:val="0"/>
          <w:szCs w:val="21"/>
          <w14:textFill>
            <w14:solidFill>
              <w14:schemeClr w14:val="tx1"/>
            </w14:solidFill>
          </w14:textFill>
        </w:rPr>
        <w:t>按</w:t>
      </w:r>
      <w:r>
        <w:rPr>
          <w:rFonts w:hint="eastAsia" w:ascii="宋体" w:hAnsi="宋体" w:cs="宋体"/>
          <w:bCs/>
          <w:color w:val="000000" w:themeColor="text1"/>
          <w:szCs w:val="21"/>
          <w14:textFill>
            <w14:solidFill>
              <w14:schemeClr w14:val="tx1"/>
            </w14:solidFill>
          </w14:textFill>
        </w:rPr>
        <w:t>本章第5.4</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bCs/>
          <w:color w:val="000000" w:themeColor="text1"/>
          <w:szCs w:val="21"/>
          <w14:textFill>
            <w14:solidFill>
              <w14:schemeClr w14:val="tx1"/>
            </w14:solidFill>
          </w14:textFill>
        </w:rPr>
        <w:t>规定</w:t>
      </w:r>
      <w:r>
        <w:rPr>
          <w:rFonts w:hint="eastAsia" w:ascii="宋体" w:hAnsi="宋体" w:cs="宋体"/>
          <w:color w:val="000000" w:themeColor="text1"/>
          <w:szCs w:val="21"/>
          <w14:textFill>
            <w14:solidFill>
              <w14:schemeClr w14:val="tx1"/>
            </w14:solidFill>
          </w14:textFill>
        </w:rPr>
        <w:t>调整得分；涉及调整价格的，</w:t>
      </w:r>
      <w:r>
        <w:rPr>
          <w:rFonts w:hint="eastAsia" w:ascii="宋体" w:hAnsi="宋体" w:cs="宋体"/>
          <w:color w:val="000000" w:themeColor="text1"/>
          <w:kern w:val="0"/>
          <w:szCs w:val="21"/>
          <w14:textFill>
            <w14:solidFill>
              <w14:schemeClr w14:val="tx1"/>
            </w14:solidFill>
          </w14:textFill>
        </w:rPr>
        <w:t>按</w:t>
      </w:r>
      <w:r>
        <w:rPr>
          <w:rFonts w:hint="eastAsia" w:ascii="宋体" w:hAnsi="宋体" w:cs="宋体"/>
          <w:bCs/>
          <w:color w:val="000000" w:themeColor="text1"/>
          <w:szCs w:val="21"/>
          <w14:textFill>
            <w14:solidFill>
              <w14:schemeClr w14:val="tx1"/>
            </w14:solidFill>
          </w14:textFill>
        </w:rPr>
        <w:t>本章第5.2</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bCs/>
          <w:color w:val="000000" w:themeColor="text1"/>
          <w:szCs w:val="21"/>
          <w14:textFill>
            <w14:solidFill>
              <w14:schemeClr w14:val="tx1"/>
            </w14:solidFill>
          </w14:textFill>
        </w:rPr>
        <w:t>规定</w:t>
      </w:r>
      <w:r>
        <w:rPr>
          <w:rFonts w:hint="eastAsia" w:ascii="宋体" w:hAnsi="宋体" w:cs="宋体"/>
          <w:color w:val="000000" w:themeColor="text1"/>
          <w:szCs w:val="21"/>
          <w14:textFill>
            <w14:solidFill>
              <w14:schemeClr w14:val="tx1"/>
            </w14:solidFill>
          </w14:textFill>
        </w:rPr>
        <w:t>调整价格。综合调整见</w:t>
      </w:r>
      <w:r>
        <w:rPr>
          <w:rFonts w:hint="eastAsia" w:ascii="宋体" w:hAnsi="宋体" w:cs="宋体"/>
          <w:b/>
          <w:color w:val="000000" w:themeColor="text1"/>
          <w:szCs w:val="21"/>
          <w14:textFill>
            <w14:solidFill>
              <w14:schemeClr w14:val="tx1"/>
            </w14:solidFill>
          </w14:textFill>
        </w:rPr>
        <w:t>招标文件前附表</w:t>
      </w:r>
      <w:r>
        <w:rPr>
          <w:rFonts w:hint="eastAsia" w:ascii="宋体" w:hAnsi="宋体" w:cs="宋体"/>
          <w:color w:val="000000" w:themeColor="text1"/>
          <w:szCs w:val="21"/>
          <w14:textFill>
            <w14:solidFill>
              <w14:schemeClr w14:val="tx1"/>
            </w14:solidFill>
          </w14:textFill>
        </w:rPr>
        <w:t>相关规定。</w:t>
      </w:r>
    </w:p>
    <w:p>
      <w:pPr>
        <w:widowControl/>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5.6</w:t>
      </w:r>
      <w:r>
        <w:rPr>
          <w:rFonts w:hint="eastAsia" w:ascii="宋体" w:hAnsi="宋体" w:cs="宋体"/>
          <w:color w:val="000000" w:themeColor="text1"/>
          <w:szCs w:val="21"/>
          <w14:textFill>
            <w14:solidFill>
              <w14:schemeClr w14:val="tx1"/>
            </w14:solidFill>
          </w14:textFill>
        </w:rPr>
        <w:t>评标时，评标委员会各成员应当独立对每个投标人的</w:t>
      </w:r>
      <w:r>
        <w:rPr>
          <w:rFonts w:hint="eastAsia" w:ascii="宋体" w:hAnsi="宋体" w:cs="宋体"/>
          <w:bCs/>
          <w:color w:val="000000" w:themeColor="text1"/>
          <w:szCs w:val="21"/>
          <w14:textFill>
            <w14:solidFill>
              <w14:schemeClr w14:val="tx1"/>
            </w14:solidFill>
          </w14:textFill>
        </w:rPr>
        <w:t>投标文件</w:t>
      </w:r>
      <w:r>
        <w:rPr>
          <w:rFonts w:hint="eastAsia" w:ascii="宋体" w:hAnsi="宋体" w:cs="宋体"/>
          <w:color w:val="000000" w:themeColor="text1"/>
          <w:szCs w:val="21"/>
          <w14:textFill>
            <w14:solidFill>
              <w14:schemeClr w14:val="tx1"/>
            </w14:solidFill>
          </w14:textFill>
        </w:rPr>
        <w:t>进行评价、评分，然后汇总每个投标人每项评分因素的得分。</w:t>
      </w:r>
    </w:p>
    <w:p>
      <w:pPr>
        <w:tabs>
          <w:tab w:val="left" w:pos="0"/>
        </w:tabs>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6.推荐中标候选人名单</w:t>
      </w:r>
    </w:p>
    <w:p>
      <w:pPr>
        <w:tabs>
          <w:tab w:val="left" w:pos="0"/>
        </w:tabs>
        <w:adjustRightInd w:val="0"/>
        <w:snapToGrid w:val="0"/>
        <w:spacing w:line="360" w:lineRule="auto"/>
        <w:ind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w:t>
      </w:r>
      <w:r>
        <w:rPr>
          <w:rFonts w:hint="eastAsia" w:ascii="宋体" w:hAnsi="宋体" w:cs="宋体"/>
          <w:bCs/>
          <w:color w:val="000000" w:themeColor="text1"/>
          <w:szCs w:val="21"/>
          <w14:textFill>
            <w14:solidFill>
              <w14:schemeClr w14:val="tx1"/>
            </w14:solidFill>
          </w14:textFill>
        </w:rPr>
        <w:t>按评审后得分由高到低顺序排列。得分相同的，按投标报价由低到高顺序排列。得分且投标报价相同的，按技术指标优劣顺序排序。得分且技术分相同，按抽签形式决定。</w:t>
      </w:r>
    </w:p>
    <w:p>
      <w:pPr>
        <w:tabs>
          <w:tab w:val="left" w:pos="0"/>
        </w:tabs>
        <w:adjustRightInd w:val="0"/>
        <w:snapToGrid w:val="0"/>
        <w:spacing w:line="360" w:lineRule="auto"/>
        <w:ind w:firstLine="424" w:firstLineChars="200"/>
        <w:rPr>
          <w:rFonts w:ascii="宋体" w:hAnsi="宋体" w:cs="宋体"/>
          <w:b/>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6.2</w:t>
      </w:r>
      <w:r>
        <w:rPr>
          <w:rFonts w:hint="eastAsia" w:ascii="宋体" w:hAnsi="宋体" w:cs="宋体"/>
          <w:color w:val="000000" w:themeColor="text1"/>
          <w:szCs w:val="21"/>
          <w14:textFill>
            <w14:solidFill>
              <w14:schemeClr w14:val="tx1"/>
            </w14:solidFill>
          </w14:textFill>
        </w:rPr>
        <w:t>中标候选人数量为壹名</w:t>
      </w:r>
      <w:r>
        <w:rPr>
          <w:rFonts w:hint="eastAsia" w:ascii="宋体" w:hAnsi="宋体" w:cs="宋体"/>
          <w:b/>
          <w:color w:val="000000" w:themeColor="text1"/>
          <w:szCs w:val="21"/>
          <w14:textFill>
            <w14:solidFill>
              <w14:schemeClr w14:val="tx1"/>
            </w14:solidFill>
          </w14:textFill>
        </w:rPr>
        <w:t>。</w:t>
      </w:r>
    </w:p>
    <w:p>
      <w:pPr>
        <w:numPr>
          <w:ilvl w:val="0"/>
          <w:numId w:val="5"/>
        </w:numPr>
        <w:tabs>
          <w:tab w:val="left" w:pos="0"/>
        </w:tabs>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评分标准</w:t>
      </w:r>
    </w:p>
    <w:p>
      <w:pPr>
        <w:pStyle w:val="3"/>
        <w:ind w:left="0"/>
        <w:jc w:val="both"/>
        <w:rPr>
          <w:rFonts w:hAnsi="宋体"/>
          <w:b/>
          <w:bCs/>
          <w:color w:val="000000" w:themeColor="text1"/>
          <w:sz w:val="30"/>
          <w:szCs w:val="30"/>
          <w14:textFill>
            <w14:solidFill>
              <w14:schemeClr w14:val="tx1"/>
            </w14:solidFill>
          </w14:textFill>
        </w:rPr>
      </w:pPr>
      <w:r>
        <w:rPr>
          <w:rFonts w:hint="eastAsia" w:hAnsi="宋体"/>
          <w:color w:val="000000" w:themeColor="text1"/>
          <w:szCs w:val="21"/>
          <w14:textFill>
            <w14:solidFill>
              <w14:schemeClr w14:val="tx1"/>
            </w14:solidFill>
          </w14:textFill>
        </w:rPr>
        <w:t>见附件</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numPr>
          <w:ilvl w:val="0"/>
          <w:numId w:val="1"/>
        </w:numPr>
        <w:spacing w:line="480" w:lineRule="exact"/>
        <w:rPr>
          <w:rFonts w:ascii="宋体" w:hAnsi="宋体" w:cs="宋体"/>
          <w:color w:val="000000" w:themeColor="text1"/>
          <w14:textFill>
            <w14:solidFill>
              <w14:schemeClr w14:val="tx1"/>
            </w14:solidFill>
          </w14:textFill>
        </w:rPr>
      </w:pPr>
      <w:bookmarkStart w:id="43" w:name="_Toc2030"/>
      <w:r>
        <w:rPr>
          <w:rFonts w:hint="eastAsia" w:ascii="宋体" w:hAnsi="宋体" w:cs="宋体"/>
          <w:color w:val="000000" w:themeColor="text1"/>
          <w14:textFill>
            <w14:solidFill>
              <w14:schemeClr w14:val="tx1"/>
            </w14:solidFill>
          </w14:textFill>
        </w:rPr>
        <w:t>合同文本及格式</w:t>
      </w:r>
      <w:bookmarkEnd w:id="43"/>
    </w:p>
    <w:p>
      <w:pPr>
        <w:spacing w:line="480" w:lineRule="exact"/>
        <w:ind w:firstLine="473" w:firstLineChars="196"/>
        <w:jc w:val="center"/>
        <w:rPr>
          <w:rFonts w:ascii="宋体" w:hAnsi="宋体" w:cs="宋体"/>
          <w:color w:val="000000" w:themeColor="text1"/>
          <w:sz w:val="24"/>
          <w14:textFill>
            <w14:solidFill>
              <w14:schemeClr w14:val="tx1"/>
            </w14:solidFill>
          </w14:textFill>
        </w:rPr>
      </w:pPr>
      <w:bookmarkStart w:id="44" w:name="_Toc101074886"/>
      <w:bookmarkStart w:id="45" w:name="_Toc100052414"/>
      <w:bookmarkStart w:id="46" w:name="_Toc73521592"/>
      <w:bookmarkStart w:id="47" w:name="_Toc73518163"/>
      <w:bookmarkStart w:id="48" w:name="_Toc73517685"/>
      <w:bookmarkStart w:id="49" w:name="_Toc73521680"/>
      <w:bookmarkStart w:id="50" w:name="_Toc84303603"/>
    </w:p>
    <w:bookmarkEnd w:id="44"/>
    <w:bookmarkEnd w:id="45"/>
    <w:bookmarkEnd w:id="46"/>
    <w:bookmarkEnd w:id="47"/>
    <w:bookmarkEnd w:id="48"/>
    <w:bookmarkEnd w:id="49"/>
    <w:bookmarkEnd w:id="50"/>
    <w:p>
      <w:pPr>
        <w:adjustRightInd w:val="0"/>
        <w:snapToGrid w:val="0"/>
        <w:spacing w:line="480" w:lineRule="exact"/>
        <w:ind w:firstLine="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4"/>
          <w:szCs w:val="21"/>
          <w14:textFill>
            <w14:solidFill>
              <w14:schemeClr w14:val="tx1"/>
            </w14:solidFill>
          </w14:textFill>
        </w:rPr>
        <w:t>注</w:t>
      </w:r>
      <w:r>
        <w:rPr>
          <w:rFonts w:hint="eastAsia" w:ascii="宋体" w:hAnsi="宋体" w:cs="宋体"/>
          <w:color w:val="000000" w:themeColor="text1"/>
          <w:spacing w:val="10"/>
          <w:szCs w:val="21"/>
          <w14:textFill>
            <w14:solidFill>
              <w14:schemeClr w14:val="tx1"/>
            </w14:solidFill>
          </w14:textFill>
        </w:rPr>
        <w:t>：</w:t>
      </w:r>
      <w:r>
        <w:rPr>
          <w:rFonts w:hint="eastAsia" w:ascii="宋体" w:hAnsi="宋体" w:cs="宋体"/>
          <w:color w:val="000000" w:themeColor="text1"/>
          <w:spacing w:val="7"/>
          <w:szCs w:val="21"/>
          <w14:textFill>
            <w14:solidFill>
              <w14:schemeClr w14:val="tx1"/>
            </w14:solidFill>
          </w14:textFill>
        </w:rPr>
        <w:t>本采购合同样本仅作为双方签订合同的参考，为阐明各方的权利和义务，经协商可增</w:t>
      </w:r>
      <w:r>
        <w:rPr>
          <w:rFonts w:hint="eastAsia" w:ascii="宋体" w:hAnsi="宋体" w:cs="宋体"/>
          <w:color w:val="000000" w:themeColor="text1"/>
          <w:spacing w:val="11"/>
          <w:szCs w:val="21"/>
          <w14:textFill>
            <w14:solidFill>
              <w14:schemeClr w14:val="tx1"/>
            </w14:solidFill>
          </w14:textFill>
        </w:rPr>
        <w:t>加</w:t>
      </w:r>
      <w:r>
        <w:rPr>
          <w:rFonts w:hint="eastAsia" w:ascii="宋体" w:hAnsi="宋体" w:cs="宋体"/>
          <w:color w:val="000000" w:themeColor="text1"/>
          <w:spacing w:val="10"/>
          <w:szCs w:val="21"/>
          <w14:textFill>
            <w14:solidFill>
              <w14:schemeClr w14:val="tx1"/>
            </w14:solidFill>
          </w14:textFill>
        </w:rPr>
        <w:t>新的条款，但不得与采购文件、响应文件的实质性内容相背离。</w:t>
      </w:r>
    </w:p>
    <w:p>
      <w:pPr>
        <w:adjustRightInd w:val="0"/>
        <w:snapToGrid w:val="0"/>
        <w:spacing w:line="480" w:lineRule="exact"/>
        <w:rPr>
          <w:rFonts w:ascii="宋体" w:hAnsi="宋体" w:cs="宋体"/>
          <w:color w:val="000000" w:themeColor="text1"/>
          <w:szCs w:val="21"/>
          <w14:textFill>
            <w14:solidFill>
              <w14:schemeClr w14:val="tx1"/>
            </w14:solidFill>
          </w14:textFill>
        </w:rPr>
      </w:pP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6"/>
          <w:position w:val="17"/>
          <w:szCs w:val="21"/>
          <w14:textFill>
            <w14:solidFill>
              <w14:schemeClr w14:val="tx1"/>
            </w14:solidFill>
          </w14:textFill>
        </w:rPr>
        <w:t>发包人 (以下称甲方) ：</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1"/>
          <w:szCs w:val="21"/>
          <w14:textFill>
            <w14:solidFill>
              <w14:schemeClr w14:val="tx1"/>
            </w14:solidFill>
          </w14:textFill>
        </w:rPr>
        <w:t>检</w:t>
      </w:r>
      <w:r>
        <w:rPr>
          <w:rFonts w:hint="eastAsia" w:ascii="宋体" w:hAnsi="宋体" w:cs="宋体"/>
          <w:color w:val="000000" w:themeColor="text1"/>
          <w:spacing w:val="6"/>
          <w:szCs w:val="21"/>
          <w14:textFill>
            <w14:solidFill>
              <w14:schemeClr w14:val="tx1"/>
            </w14:solidFill>
          </w14:textFill>
        </w:rPr>
        <w:t>测人 (以下称乙方) ：</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6"/>
          <w:szCs w:val="21"/>
          <w14:textFill>
            <w14:solidFill>
              <w14:schemeClr w14:val="tx1"/>
            </w14:solidFill>
          </w14:textFill>
        </w:rPr>
        <w:t>甲方</w:t>
      </w:r>
      <w:r>
        <w:rPr>
          <w:rFonts w:hint="eastAsia" w:ascii="宋体" w:hAnsi="宋体" w:cs="宋体"/>
          <w:color w:val="000000" w:themeColor="text1"/>
          <w:spacing w:val="9"/>
          <w:szCs w:val="21"/>
          <w14:textFill>
            <w14:solidFill>
              <w14:schemeClr w14:val="tx1"/>
            </w14:solidFill>
          </w14:textFill>
        </w:rPr>
        <w:t>委</w:t>
      </w:r>
      <w:r>
        <w:rPr>
          <w:rFonts w:hint="eastAsia" w:ascii="宋体" w:hAnsi="宋体" w:cs="宋体"/>
          <w:color w:val="000000" w:themeColor="text1"/>
          <w:spacing w:val="8"/>
          <w:szCs w:val="21"/>
          <w14:textFill>
            <w14:solidFill>
              <w14:schemeClr w14:val="tx1"/>
            </w14:solidFill>
          </w14:textFill>
        </w:rPr>
        <w:t>托乙方承担</w:t>
      </w:r>
      <w:r>
        <w:rPr>
          <w:rFonts w:hint="eastAsia" w:ascii="宋体" w:hAnsi="宋体" w:cs="宋体"/>
          <w:color w:val="000000" w:themeColor="text1"/>
          <w:szCs w:val="21"/>
          <w14:textFill>
            <w14:solidFill>
              <w14:schemeClr w14:val="tx1"/>
            </w14:solidFill>
          </w14:textFill>
        </w:rPr>
        <w:t>吉安市吉州区金樟职业教育园建设项目（一期）检测服务</w:t>
      </w:r>
      <w:r>
        <w:rPr>
          <w:rFonts w:hint="eastAsia" w:ascii="宋体" w:hAnsi="宋体" w:cs="宋体"/>
          <w:color w:val="000000" w:themeColor="text1"/>
          <w:spacing w:val="8"/>
          <w:szCs w:val="21"/>
          <w14:textFill>
            <w14:solidFill>
              <w14:schemeClr w14:val="tx1"/>
            </w14:solidFill>
          </w14:textFill>
        </w:rPr>
        <w:t>。</w:t>
      </w:r>
    </w:p>
    <w:p>
      <w:pPr>
        <w:adjustRightInd w:val="0"/>
        <w:snapToGrid w:val="0"/>
        <w:spacing w:line="480" w:lineRule="exact"/>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4"/>
          <w:szCs w:val="21"/>
          <w14:textFill>
            <w14:solidFill>
              <w14:schemeClr w14:val="tx1"/>
            </w14:solidFill>
          </w14:textFill>
        </w:rPr>
        <w:t>根</w:t>
      </w:r>
      <w:r>
        <w:rPr>
          <w:rFonts w:hint="eastAsia" w:ascii="宋体" w:hAnsi="宋体" w:cs="宋体"/>
          <w:color w:val="000000" w:themeColor="text1"/>
          <w:spacing w:val="10"/>
          <w:szCs w:val="21"/>
          <w14:textFill>
            <w14:solidFill>
              <w14:schemeClr w14:val="tx1"/>
            </w14:solidFill>
          </w14:textFill>
        </w:rPr>
        <w:t>据</w:t>
      </w:r>
      <w:r>
        <w:rPr>
          <w:rFonts w:hint="eastAsia" w:ascii="宋体" w:hAnsi="宋体" w:cs="宋体"/>
          <w:color w:val="000000" w:themeColor="text1"/>
          <w:spacing w:val="7"/>
          <w:szCs w:val="21"/>
          <w14:textFill>
            <w14:solidFill>
              <w14:schemeClr w14:val="tx1"/>
            </w14:solidFill>
          </w14:textFill>
        </w:rPr>
        <w:t>《中华人民共和国民法典》、《中华人民共和国建筑法》及其他有关法律、行政</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pacing w:val="6"/>
          <w:szCs w:val="21"/>
          <w14:textFill>
            <w14:solidFill>
              <w14:schemeClr w14:val="tx1"/>
            </w14:solidFill>
          </w14:textFill>
        </w:rPr>
        <w:t>法规，遵循</w:t>
      </w:r>
      <w:r>
        <w:rPr>
          <w:rFonts w:hint="eastAsia" w:ascii="宋体" w:hAnsi="宋体" w:cs="宋体"/>
          <w:color w:val="000000" w:themeColor="text1"/>
          <w:spacing w:val="3"/>
          <w:szCs w:val="21"/>
          <w14:textFill>
            <w14:solidFill>
              <w14:schemeClr w14:val="tx1"/>
            </w14:solidFill>
          </w14:textFill>
        </w:rPr>
        <w:t>平等、自愿、公平和诚实信用原则并结合本工程的具体情况，为明确双方权利、</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pacing w:val="14"/>
          <w:szCs w:val="21"/>
          <w14:textFill>
            <w14:solidFill>
              <w14:schemeClr w14:val="tx1"/>
            </w14:solidFill>
          </w14:textFill>
        </w:rPr>
        <w:t>义务</w:t>
      </w:r>
      <w:r>
        <w:rPr>
          <w:rFonts w:hint="eastAsia" w:ascii="宋体" w:hAnsi="宋体" w:cs="宋体"/>
          <w:color w:val="000000" w:themeColor="text1"/>
          <w:spacing w:val="9"/>
          <w:szCs w:val="21"/>
          <w14:textFill>
            <w14:solidFill>
              <w14:schemeClr w14:val="tx1"/>
            </w14:solidFill>
          </w14:textFill>
        </w:rPr>
        <w:t>和</w:t>
      </w:r>
      <w:r>
        <w:rPr>
          <w:rFonts w:hint="eastAsia" w:ascii="宋体" w:hAnsi="宋体" w:cs="宋体"/>
          <w:color w:val="000000" w:themeColor="text1"/>
          <w:spacing w:val="7"/>
          <w:szCs w:val="21"/>
          <w14:textFill>
            <w14:solidFill>
              <w14:schemeClr w14:val="tx1"/>
            </w14:solidFill>
          </w14:textFill>
        </w:rPr>
        <w:t>责任，保证工程施工的进度、质量与安全，经甲方、乙方就</w:t>
      </w:r>
      <w:r>
        <w:rPr>
          <w:rFonts w:hint="eastAsia" w:ascii="宋体" w:hAnsi="宋体" w:cs="宋体"/>
          <w:color w:val="000000" w:themeColor="text1"/>
          <w:szCs w:val="21"/>
          <w14:textFill>
            <w14:solidFill>
              <w14:schemeClr w14:val="tx1"/>
            </w14:solidFill>
          </w14:textFill>
        </w:rPr>
        <w:t>吉安市吉州区金樟职业教育园建设项目（一期）检测服务</w:t>
      </w:r>
      <w:r>
        <w:rPr>
          <w:rFonts w:hint="eastAsia" w:ascii="宋体" w:hAnsi="宋体" w:cs="宋体"/>
          <w:color w:val="000000" w:themeColor="text1"/>
          <w:spacing w:val="8"/>
          <w:szCs w:val="21"/>
          <w14:textFill>
            <w14:solidFill>
              <w14:schemeClr w14:val="tx1"/>
            </w14:solidFill>
          </w14:textFill>
        </w:rPr>
        <w:t>事项协商一致，签订本合同，悉共同遵守。</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第</w:t>
      </w:r>
      <w:r>
        <w:rPr>
          <w:rFonts w:hint="eastAsia" w:ascii="宋体" w:hAnsi="宋体" w:cs="宋体"/>
          <w:color w:val="000000" w:themeColor="text1"/>
          <w:spacing w:val="6"/>
          <w:szCs w:val="21"/>
          <w14:textFill>
            <w14:solidFill>
              <w14:schemeClr w14:val="tx1"/>
            </w14:solidFill>
          </w14:textFill>
        </w:rPr>
        <w:t>一条：项目概况：</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1.</w:t>
      </w:r>
      <w:r>
        <w:rPr>
          <w:rFonts w:hint="eastAsia" w:ascii="宋体" w:hAnsi="宋体" w:cs="宋体"/>
          <w:color w:val="000000" w:themeColor="text1"/>
          <w:spacing w:val="3"/>
          <w:szCs w:val="21"/>
          <w14:textFill>
            <w14:solidFill>
              <w14:schemeClr w14:val="tx1"/>
            </w14:solidFill>
          </w14:textFill>
        </w:rPr>
        <w:t>1 工程名称：</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5"/>
          <w:szCs w:val="21"/>
          <w14:textFill>
            <w14:solidFill>
              <w14:schemeClr w14:val="tx1"/>
            </w14:solidFill>
          </w14:textFill>
        </w:rPr>
        <w:t>1.2 工程建设地点</w:t>
      </w:r>
      <w:r>
        <w:rPr>
          <w:rFonts w:hint="eastAsia" w:ascii="宋体" w:hAnsi="宋体" w:cs="宋体"/>
          <w:color w:val="000000" w:themeColor="text1"/>
          <w:spacing w:val="3"/>
          <w:szCs w:val="21"/>
          <w14:textFill>
            <w14:solidFill>
              <w14:schemeClr w14:val="tx1"/>
            </w14:solidFill>
          </w14:textFill>
        </w:rPr>
        <w:t>：</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5"/>
          <w:szCs w:val="21"/>
          <w14:textFill>
            <w14:solidFill>
              <w14:schemeClr w14:val="tx1"/>
            </w14:solidFill>
          </w14:textFill>
        </w:rPr>
        <w:t>1.3 工程承包范围</w:t>
      </w:r>
      <w:r>
        <w:rPr>
          <w:rFonts w:hint="eastAsia" w:ascii="宋体" w:hAnsi="宋体" w:cs="宋体"/>
          <w:color w:val="000000" w:themeColor="text1"/>
          <w:spacing w:val="3"/>
          <w:szCs w:val="21"/>
          <w14:textFill>
            <w14:solidFill>
              <w14:schemeClr w14:val="tx1"/>
            </w14:solidFill>
          </w14:textFill>
        </w:rPr>
        <w:t>：</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2"/>
          <w:szCs w:val="21"/>
          <w14:textFill>
            <w14:solidFill>
              <w14:schemeClr w14:val="tx1"/>
            </w14:solidFill>
          </w14:textFill>
        </w:rPr>
        <w:t>第</w:t>
      </w:r>
      <w:r>
        <w:rPr>
          <w:rFonts w:hint="eastAsia" w:ascii="宋体" w:hAnsi="宋体" w:cs="宋体"/>
          <w:color w:val="000000" w:themeColor="text1"/>
          <w:spacing w:val="7"/>
          <w:szCs w:val="21"/>
          <w14:textFill>
            <w14:solidFill>
              <w14:schemeClr w14:val="tx1"/>
            </w14:solidFill>
          </w14:textFill>
        </w:rPr>
        <w:t>二条：服务工期</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 xml:space="preserve">2.1 开工时间：  年 月 </w:t>
      </w:r>
      <w:r>
        <w:rPr>
          <w:rFonts w:hint="eastAsia" w:ascii="宋体" w:hAnsi="宋体" w:cs="宋体"/>
          <w:color w:val="000000" w:themeColor="text1"/>
          <w:szCs w:val="21"/>
          <w14:textFill>
            <w14:solidFill>
              <w14:schemeClr w14:val="tx1"/>
            </w14:solidFill>
          </w14:textFill>
        </w:rPr>
        <w:t>日</w:t>
      </w:r>
    </w:p>
    <w:p>
      <w:pPr>
        <w:spacing w:line="344"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服务履行期限：从检测单位进场至所有服务项目完成，服务周期必须满足实际施工要求和验收要求，具体开工时间以采购人书面通知或合同约定为准。因采购人原因或现场不具备作业条件，检测时间顺延。</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2</w:t>
      </w:r>
      <w:r>
        <w:rPr>
          <w:rFonts w:hint="eastAsia" w:ascii="宋体" w:hAnsi="宋体" w:cs="宋体"/>
          <w:color w:val="000000" w:themeColor="text1"/>
          <w:spacing w:val="4"/>
          <w:szCs w:val="21"/>
          <w14:textFill>
            <w14:solidFill>
              <w14:schemeClr w14:val="tx1"/>
            </w14:solidFill>
          </w14:textFill>
        </w:rPr>
        <w:t>.</w:t>
      </w:r>
      <w:r>
        <w:rPr>
          <w:rFonts w:hint="eastAsia" w:ascii="宋体" w:hAnsi="宋体" w:cs="宋体"/>
          <w:color w:val="000000" w:themeColor="text1"/>
          <w:spacing w:val="3"/>
          <w:szCs w:val="21"/>
          <w14:textFill>
            <w14:solidFill>
              <w14:schemeClr w14:val="tx1"/>
            </w14:solidFill>
          </w14:textFill>
        </w:rPr>
        <w:t>3 工期延误：如遇下列特殊情况，经双方协商一致并由监理人及甲方驻现场代表签证后，服务工期可相</w:t>
      </w:r>
      <w:r>
        <w:rPr>
          <w:rFonts w:hint="eastAsia" w:ascii="宋体" w:hAnsi="宋体" w:cs="宋体"/>
          <w:color w:val="000000" w:themeColor="text1"/>
          <w:spacing w:val="5"/>
          <w:szCs w:val="21"/>
          <w14:textFill>
            <w14:solidFill>
              <w14:schemeClr w14:val="tx1"/>
            </w14:solidFill>
          </w14:textFill>
        </w:rPr>
        <w:t>应</w:t>
      </w:r>
      <w:r>
        <w:rPr>
          <w:rFonts w:hint="eastAsia" w:ascii="宋体" w:hAnsi="宋体" w:cs="宋体"/>
          <w:color w:val="000000" w:themeColor="text1"/>
          <w:spacing w:val="3"/>
          <w:szCs w:val="21"/>
          <w14:textFill>
            <w14:solidFill>
              <w14:schemeClr w14:val="tx1"/>
            </w14:solidFill>
          </w14:textFill>
        </w:rPr>
        <w:t>顺延：</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szCs w:val="21"/>
          <w14:textFill>
            <w14:solidFill>
              <w14:schemeClr w14:val="tx1"/>
            </w14:solidFill>
          </w14:textFill>
        </w:rPr>
        <w:t>2.3.1 甲方未能按时提供图纸，影响进场检测</w:t>
      </w:r>
      <w:r>
        <w:rPr>
          <w:rFonts w:hint="eastAsia" w:ascii="宋体" w:hAnsi="宋体" w:cs="宋体"/>
          <w:color w:val="000000" w:themeColor="text1"/>
          <w:spacing w:val="4"/>
          <w:szCs w:val="21"/>
          <w14:textFill>
            <w14:solidFill>
              <w14:schemeClr w14:val="tx1"/>
            </w14:solidFill>
          </w14:textFill>
        </w:rPr>
        <w:t>。</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6"/>
          <w:szCs w:val="21"/>
          <w14:textFill>
            <w14:solidFill>
              <w14:schemeClr w14:val="tx1"/>
            </w14:solidFill>
          </w14:textFill>
        </w:rPr>
        <w:t>2.</w:t>
      </w:r>
      <w:r>
        <w:rPr>
          <w:rFonts w:hint="eastAsia" w:ascii="宋体" w:hAnsi="宋体" w:cs="宋体"/>
          <w:color w:val="000000" w:themeColor="text1"/>
          <w:spacing w:val="10"/>
          <w:szCs w:val="21"/>
          <w14:textFill>
            <w14:solidFill>
              <w14:schemeClr w14:val="tx1"/>
            </w14:solidFill>
          </w14:textFill>
        </w:rPr>
        <w:t>3</w:t>
      </w:r>
      <w:r>
        <w:rPr>
          <w:rFonts w:hint="eastAsia" w:ascii="宋体" w:hAnsi="宋体" w:cs="宋体"/>
          <w:color w:val="000000" w:themeColor="text1"/>
          <w:spacing w:val="8"/>
          <w:szCs w:val="21"/>
          <w14:textFill>
            <w14:solidFill>
              <w14:schemeClr w14:val="tx1"/>
            </w14:solidFill>
          </w14:textFill>
        </w:rPr>
        <w:t>.2 重大设计变更或设计方案改变造成检测无法正常进行而影响进度。</w:t>
      </w:r>
    </w:p>
    <w:p>
      <w:pPr>
        <w:adjustRightInd w:val="0"/>
        <w:snapToGrid w:val="0"/>
        <w:spacing w:line="480" w:lineRule="exact"/>
        <w:ind w:hanging="8"/>
        <w:rPr>
          <w:rFonts w:ascii="宋体" w:hAnsi="宋体" w:cs="宋体"/>
          <w:color w:val="000000" w:themeColor="text1"/>
          <w:spacing w:val="5"/>
          <w:szCs w:val="21"/>
          <w14:textFill>
            <w14:solidFill>
              <w14:schemeClr w14:val="tx1"/>
            </w14:solidFill>
          </w14:textFill>
        </w:rPr>
      </w:pPr>
      <w:r>
        <w:rPr>
          <w:rFonts w:hint="eastAsia" w:ascii="宋体" w:hAnsi="宋体" w:cs="宋体"/>
          <w:color w:val="000000" w:themeColor="text1"/>
          <w:spacing w:val="7"/>
          <w:szCs w:val="21"/>
          <w14:textFill>
            <w14:solidFill>
              <w14:schemeClr w14:val="tx1"/>
            </w14:solidFill>
          </w14:textFill>
        </w:rPr>
        <w:t>2.3.3 不可抗力：不可抗力指战争、严重火灾、洪水、台风、地震等或其它双方认定的不</w:t>
      </w:r>
      <w:r>
        <w:rPr>
          <w:rFonts w:hint="eastAsia" w:ascii="宋体" w:hAnsi="宋体" w:cs="宋体"/>
          <w:color w:val="000000" w:themeColor="text1"/>
          <w:spacing w:val="5"/>
          <w:szCs w:val="21"/>
          <w14:textFill>
            <w14:solidFill>
              <w14:schemeClr w14:val="tx1"/>
            </w14:solidFill>
          </w14:textFill>
        </w:rPr>
        <w:t>可抗力事件。</w:t>
      </w:r>
    </w:p>
    <w:p>
      <w:pPr>
        <w:adjustRightInd w:val="0"/>
        <w:snapToGrid w:val="0"/>
        <w:spacing w:line="480" w:lineRule="exact"/>
        <w:ind w:hanging="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4"/>
          <w:szCs w:val="21"/>
          <w14:textFill>
            <w14:solidFill>
              <w14:schemeClr w14:val="tx1"/>
            </w14:solidFill>
          </w14:textFill>
        </w:rPr>
        <w:t>2</w:t>
      </w:r>
      <w:r>
        <w:rPr>
          <w:rFonts w:hint="eastAsia" w:ascii="宋体" w:hAnsi="宋体" w:cs="宋体"/>
          <w:color w:val="000000" w:themeColor="text1"/>
          <w:spacing w:val="7"/>
          <w:szCs w:val="21"/>
          <w14:textFill>
            <w14:solidFill>
              <w14:schemeClr w14:val="tx1"/>
            </w14:solidFill>
          </w14:textFill>
        </w:rPr>
        <w:t>.4乙方必须按照合同约定的竣工日期或同意顺延的工期完成检测任务，因乙方原因不能按约定日</w:t>
      </w:r>
      <w:r>
        <w:rPr>
          <w:rFonts w:hint="eastAsia" w:ascii="宋体" w:hAnsi="宋体" w:cs="宋体"/>
          <w:color w:val="000000" w:themeColor="text1"/>
          <w:spacing w:val="5"/>
          <w:szCs w:val="21"/>
          <w14:textFill>
            <w14:solidFill>
              <w14:schemeClr w14:val="tx1"/>
            </w14:solidFill>
          </w14:textFill>
        </w:rPr>
        <w:t>期完成服务工作的，</w:t>
      </w:r>
      <w:r>
        <w:rPr>
          <w:rFonts w:hint="eastAsia" w:ascii="宋体" w:hAnsi="宋体" w:cs="宋体"/>
          <w:color w:val="000000" w:themeColor="text1"/>
          <w:spacing w:val="10"/>
          <w:szCs w:val="21"/>
          <w14:textFill>
            <w14:solidFill>
              <w14:schemeClr w14:val="tx1"/>
            </w14:solidFill>
          </w14:textFill>
        </w:rPr>
        <w:t>乙</w:t>
      </w:r>
      <w:r>
        <w:rPr>
          <w:rFonts w:hint="eastAsia" w:ascii="宋体" w:hAnsi="宋体" w:cs="宋体"/>
          <w:color w:val="000000" w:themeColor="text1"/>
          <w:spacing w:val="7"/>
          <w:szCs w:val="21"/>
          <w14:textFill>
            <w14:solidFill>
              <w14:schemeClr w14:val="tx1"/>
            </w14:solidFill>
          </w14:textFill>
        </w:rPr>
        <w:t>方</w:t>
      </w:r>
      <w:r>
        <w:rPr>
          <w:rFonts w:hint="eastAsia" w:ascii="宋体" w:hAnsi="宋体" w:cs="宋体"/>
          <w:color w:val="000000" w:themeColor="text1"/>
          <w:spacing w:val="5"/>
          <w:szCs w:val="21"/>
          <w14:textFill>
            <w14:solidFill>
              <w14:schemeClr w14:val="tx1"/>
            </w14:solidFill>
          </w14:textFill>
        </w:rPr>
        <w:t>应承担违约责任。</w:t>
      </w:r>
    </w:p>
    <w:p>
      <w:pPr>
        <w:adjustRightInd w:val="0"/>
        <w:snapToGrid w:val="0"/>
        <w:spacing w:line="480" w:lineRule="exact"/>
        <w:rPr>
          <w:rFonts w:ascii="宋体" w:hAnsi="宋体" w:cs="宋体"/>
          <w:color w:val="000000" w:themeColor="text1"/>
          <w:spacing w:val="8"/>
          <w:szCs w:val="21"/>
          <w14:textFill>
            <w14:solidFill>
              <w14:schemeClr w14:val="tx1"/>
            </w14:solidFill>
          </w14:textFill>
        </w:rPr>
      </w:pPr>
      <w:r>
        <w:rPr>
          <w:rFonts w:hint="eastAsia" w:ascii="宋体" w:hAnsi="宋体" w:cs="宋体"/>
          <w:color w:val="000000" w:themeColor="text1"/>
          <w:spacing w:val="13"/>
          <w:szCs w:val="21"/>
          <w14:textFill>
            <w14:solidFill>
              <w14:schemeClr w14:val="tx1"/>
            </w14:solidFill>
          </w14:textFill>
        </w:rPr>
        <w:t>第</w:t>
      </w:r>
      <w:r>
        <w:rPr>
          <w:rFonts w:hint="eastAsia" w:ascii="宋体" w:hAnsi="宋体" w:cs="宋体"/>
          <w:color w:val="000000" w:themeColor="text1"/>
          <w:spacing w:val="8"/>
          <w:szCs w:val="21"/>
          <w14:textFill>
            <w14:solidFill>
              <w14:schemeClr w14:val="tx1"/>
            </w14:solidFill>
          </w14:textFill>
        </w:rPr>
        <w:t>三条：检测项目</w:t>
      </w:r>
    </w:p>
    <w:p>
      <w:pPr>
        <w:pStyle w:val="40"/>
        <w:spacing w:line="480" w:lineRule="exact"/>
        <w:rPr>
          <w:color w:val="000000" w:themeColor="text1"/>
          <w14:textFill>
            <w14:solidFill>
              <w14:schemeClr w14:val="tx1"/>
            </w14:solidFill>
          </w14:textFill>
        </w:rPr>
      </w:pPr>
      <w:r>
        <w:rPr>
          <w:rFonts w:hint="eastAsia" w:ascii="宋体" w:hAnsi="宋体" w:cs="宋体"/>
          <w:color w:val="000000" w:themeColor="text1"/>
          <w:spacing w:val="6"/>
          <w:sz w:val="21"/>
          <w:szCs w:val="21"/>
          <w14:textFill>
            <w14:solidFill>
              <w14:schemeClr w14:val="tx1"/>
            </w14:solidFill>
          </w14:textFill>
        </w:rPr>
        <w:t>检测项</w:t>
      </w:r>
      <w:r>
        <w:rPr>
          <w:rFonts w:hint="eastAsia" w:ascii="宋体" w:hAnsi="宋体" w:cs="宋体"/>
          <w:color w:val="000000" w:themeColor="text1"/>
          <w:spacing w:val="4"/>
          <w:sz w:val="21"/>
          <w:szCs w:val="21"/>
          <w14:textFill>
            <w14:solidFill>
              <w14:schemeClr w14:val="tx1"/>
            </w14:solidFill>
          </w14:textFill>
        </w:rPr>
        <w:t>目：</w:t>
      </w:r>
      <w:r>
        <w:rPr>
          <w:rFonts w:hint="eastAsia" w:ascii="宋体" w:hAnsi="宋体" w:cs="宋体"/>
          <w:color w:val="000000" w:themeColor="text1"/>
          <w:spacing w:val="7"/>
          <w:sz w:val="21"/>
          <w:szCs w:val="21"/>
          <w:lang w:eastAsia="en-US" w:bidi="en-US"/>
          <w14:textFill>
            <w14:solidFill>
              <w14:schemeClr w14:val="tx1"/>
            </w14:solidFill>
          </w14:textFill>
        </w:rPr>
        <w:t>低应变检测、单桩竖向抗压静载</w:t>
      </w:r>
      <w:r>
        <w:rPr>
          <w:rFonts w:hint="eastAsia" w:ascii="宋体" w:hAnsi="宋体" w:cs="宋体"/>
          <w:color w:val="000000" w:themeColor="text1"/>
          <w:spacing w:val="7"/>
          <w:sz w:val="21"/>
          <w:szCs w:val="21"/>
          <w:lang w:bidi="en-US"/>
          <w14:textFill>
            <w14:solidFill>
              <w14:schemeClr w14:val="tx1"/>
            </w14:solidFill>
          </w14:textFill>
        </w:rPr>
        <w:t>（堆载法）检测、竖向抗拔</w:t>
      </w:r>
      <w:r>
        <w:rPr>
          <w:rFonts w:hint="eastAsia" w:ascii="宋体" w:hAnsi="宋体" w:cs="宋体"/>
          <w:color w:val="000000" w:themeColor="text1"/>
          <w:spacing w:val="7"/>
          <w:sz w:val="21"/>
          <w:szCs w:val="21"/>
          <w:lang w:eastAsia="en-US" w:bidi="en-US"/>
          <w14:textFill>
            <w14:solidFill>
              <w14:schemeClr w14:val="tx1"/>
            </w14:solidFill>
          </w14:textFill>
        </w:rPr>
        <w:t>试验</w:t>
      </w:r>
      <w:r>
        <w:rPr>
          <w:rFonts w:hint="eastAsia" w:ascii="宋体" w:hAnsi="宋体" w:cs="宋体"/>
          <w:color w:val="000000" w:themeColor="text1"/>
          <w:spacing w:val="7"/>
          <w:sz w:val="21"/>
          <w:szCs w:val="21"/>
          <w:lang w:bidi="en-US"/>
          <w14:textFill>
            <w14:solidFill>
              <w14:schemeClr w14:val="tx1"/>
            </w14:solidFill>
          </w14:textFill>
        </w:rPr>
        <w:t>检测</w:t>
      </w:r>
      <w:r>
        <w:rPr>
          <w:rFonts w:hint="eastAsia" w:ascii="宋体" w:hAnsi="宋体" w:cs="宋体"/>
          <w:color w:val="000000" w:themeColor="text1"/>
          <w:spacing w:val="7"/>
          <w:sz w:val="21"/>
          <w:szCs w:val="21"/>
          <w:lang w:eastAsia="en-US" w:bidi="en-US"/>
          <w14:textFill>
            <w14:solidFill>
              <w14:schemeClr w14:val="tx1"/>
            </w14:solidFill>
          </w14:textFill>
        </w:rPr>
        <w:t>、钻芯法检测</w:t>
      </w:r>
      <w:r>
        <w:rPr>
          <w:rFonts w:hint="eastAsia" w:ascii="宋体" w:hAnsi="宋体" w:cs="宋体"/>
          <w:color w:val="000000" w:themeColor="text1"/>
          <w:spacing w:val="7"/>
          <w:sz w:val="21"/>
          <w:szCs w:val="21"/>
          <w:lang w:bidi="en-US"/>
          <w14:textFill>
            <w14:solidFill>
              <w14:schemeClr w14:val="tx1"/>
            </w14:solidFill>
          </w14:textFill>
        </w:rPr>
        <w:t>、采购人指定的常规检测（包括沉降观测、见证取样、建筑节能、主体结构、钢结构、市政道路等检测，但不包括人防工程、消防工程、绿建项目、防雷设施专项检测）。</w:t>
      </w:r>
    </w:p>
    <w:p>
      <w:pPr>
        <w:pStyle w:val="5"/>
        <w:adjustRightInd w:val="0"/>
        <w:snapToGrid w:val="0"/>
        <w:spacing w:before="0" w:after="0" w:line="480" w:lineRule="exact"/>
        <w:rPr>
          <w:rFonts w:ascii="宋体" w:hAnsi="宋体" w:cs="宋体"/>
          <w:b w:val="0"/>
          <w:color w:val="000000" w:themeColor="text1"/>
          <w:sz w:val="21"/>
          <w:szCs w:val="21"/>
          <w14:textFill>
            <w14:solidFill>
              <w14:schemeClr w14:val="tx1"/>
            </w14:solidFill>
          </w14:textFill>
        </w:rPr>
      </w:pPr>
      <w:r>
        <w:rPr>
          <w:rFonts w:hint="eastAsia" w:ascii="宋体" w:hAnsi="宋体" w:cs="宋体"/>
          <w:b w:val="0"/>
          <w:color w:val="000000" w:themeColor="text1"/>
          <w:spacing w:val="2"/>
          <w:sz w:val="21"/>
          <w:szCs w:val="21"/>
          <w14:textFill>
            <w14:solidFill>
              <w14:schemeClr w14:val="tx1"/>
            </w14:solidFill>
          </w14:textFill>
        </w:rPr>
        <w:t>第四条：检测依</w:t>
      </w:r>
      <w:r>
        <w:rPr>
          <w:rFonts w:hint="eastAsia" w:ascii="宋体" w:hAnsi="宋体" w:cs="宋体"/>
          <w:b w:val="0"/>
          <w:color w:val="000000" w:themeColor="text1"/>
          <w:spacing w:val="1"/>
          <w:sz w:val="21"/>
          <w:szCs w:val="21"/>
          <w14:textFill>
            <w14:solidFill>
              <w14:schemeClr w14:val="tx1"/>
            </w14:solidFill>
          </w14:textFill>
        </w:rPr>
        <w:t xml:space="preserve">据 </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（1）《建筑基桩检</w:t>
      </w:r>
      <w:r>
        <w:rPr>
          <w:rFonts w:hint="eastAsia" w:ascii="宋体" w:hAnsi="宋体" w:cs="宋体"/>
          <w:color w:val="000000" w:themeColor="text1"/>
          <w:spacing w:val="3"/>
          <w:szCs w:val="21"/>
          <w14:textFill>
            <w14:solidFill>
              <w14:schemeClr w14:val="tx1"/>
            </w14:solidFill>
          </w14:textFill>
        </w:rPr>
        <w:t>测</w:t>
      </w:r>
      <w:r>
        <w:rPr>
          <w:rFonts w:hint="eastAsia" w:ascii="宋体" w:hAnsi="宋体" w:cs="宋体"/>
          <w:color w:val="000000" w:themeColor="text1"/>
          <w:spacing w:val="2"/>
          <w:szCs w:val="21"/>
          <w14:textFill>
            <w14:solidFill>
              <w14:schemeClr w14:val="tx1"/>
            </w14:solidFill>
          </w14:textFill>
        </w:rPr>
        <w:t>技术规范》  (</w:t>
      </w:r>
      <w:r>
        <w:rPr>
          <w:rFonts w:hint="eastAsia" w:ascii="宋体" w:hAnsi="宋体" w:cs="宋体"/>
          <w:color w:val="000000" w:themeColor="text1"/>
          <w:szCs w:val="21"/>
          <w14:textFill>
            <w14:solidFill>
              <w14:schemeClr w14:val="tx1"/>
            </w14:solidFill>
          </w14:textFill>
        </w:rPr>
        <w:t>JGJ</w:t>
      </w:r>
      <w:r>
        <w:rPr>
          <w:rFonts w:hint="eastAsia" w:ascii="宋体" w:hAnsi="宋体" w:cs="宋体"/>
          <w:color w:val="000000" w:themeColor="text1"/>
          <w:spacing w:val="2"/>
          <w:szCs w:val="21"/>
          <w14:textFill>
            <w14:solidFill>
              <w14:schemeClr w14:val="tx1"/>
            </w14:solidFill>
          </w14:textFill>
        </w:rPr>
        <w:t>106-2014) 。</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（2）《建筑地基基础工程施工质量验收规范》  (</w:t>
      </w:r>
      <w:r>
        <w:rPr>
          <w:rFonts w:hint="eastAsia" w:ascii="宋体" w:hAnsi="宋体" w:cs="宋体"/>
          <w:color w:val="000000" w:themeColor="text1"/>
          <w:szCs w:val="21"/>
          <w14:textFill>
            <w14:solidFill>
              <w14:schemeClr w14:val="tx1"/>
            </w14:solidFill>
          </w14:textFill>
        </w:rPr>
        <w:t>GB</w:t>
      </w:r>
      <w:r>
        <w:rPr>
          <w:rFonts w:hint="eastAsia" w:ascii="宋体" w:hAnsi="宋体" w:cs="宋体"/>
          <w:color w:val="000000" w:themeColor="text1"/>
          <w:spacing w:val="4"/>
          <w:szCs w:val="21"/>
          <w14:textFill>
            <w14:solidFill>
              <w14:schemeClr w14:val="tx1"/>
            </w14:solidFill>
          </w14:textFill>
        </w:rPr>
        <w:t>50202-2018)</w:t>
      </w:r>
      <w:r>
        <w:rPr>
          <w:rFonts w:hint="eastAsia" w:ascii="宋体" w:hAnsi="宋体" w:cs="宋体"/>
          <w:color w:val="000000" w:themeColor="text1"/>
          <w:spacing w:val="2"/>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pPr>
        <w:adjustRightInd w:val="0"/>
        <w:snapToGrid w:val="0"/>
        <w:spacing w:line="480" w:lineRule="exact"/>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（3）《钢筋混凝土用钢 第1部分：热轧光圆钢筋 》GB/T 1499.1-2017</w:t>
      </w:r>
    </w:p>
    <w:p>
      <w:pPr>
        <w:adjustRightInd w:val="0"/>
        <w:snapToGrid w:val="0"/>
        <w:spacing w:line="480" w:lineRule="exact"/>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（4）《钢筋混凝土用钢 第2部分：热轧带肋钢筋》GB/T 1499.2-2018</w:t>
      </w:r>
    </w:p>
    <w:p>
      <w:pPr>
        <w:adjustRightInd w:val="0"/>
        <w:snapToGrid w:val="0"/>
        <w:spacing w:line="480" w:lineRule="exact"/>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（5）《建筑节能工程施工质量验收规范》GB50411-2019、</w:t>
      </w:r>
    </w:p>
    <w:p>
      <w:pPr>
        <w:adjustRightInd w:val="0"/>
        <w:snapToGrid w:val="0"/>
        <w:spacing w:line="480" w:lineRule="exact"/>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（6）《建筑外窗气密、水密、抗风压性能分级及检测方法》GB/T 7106-2019、</w:t>
      </w:r>
    </w:p>
    <w:p>
      <w:pPr>
        <w:adjustRightInd w:val="0"/>
        <w:snapToGrid w:val="0"/>
        <w:spacing w:line="480" w:lineRule="exact"/>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（7）《混凝土结构工程施工质量验收规范》GB50204-2015</w:t>
      </w:r>
    </w:p>
    <w:p>
      <w:pPr>
        <w:adjustRightInd w:val="0"/>
        <w:snapToGrid w:val="0"/>
        <w:spacing w:line="480" w:lineRule="exact"/>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（8）《混凝土结构现场检测技术标准》GB/T 50784-2013</w:t>
      </w:r>
    </w:p>
    <w:p>
      <w:pPr>
        <w:adjustRightInd w:val="0"/>
        <w:snapToGrid w:val="0"/>
        <w:spacing w:line="480" w:lineRule="exact"/>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（9）《回弹法检测混凝土抗压强度技术规程》JGJ/T23-2011</w:t>
      </w:r>
    </w:p>
    <w:p>
      <w:pPr>
        <w:adjustRightInd w:val="0"/>
        <w:snapToGrid w:val="0"/>
        <w:spacing w:line="480" w:lineRule="exact"/>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（10）《混凝土中钢筋检测技术规程》JGJ/T152-2019</w:t>
      </w:r>
    </w:p>
    <w:p>
      <w:pPr>
        <w:adjustRightInd w:val="0"/>
        <w:snapToGrid w:val="0"/>
        <w:spacing w:line="480" w:lineRule="exact"/>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（11）《建筑变形测量规范》JGJ 8-2016</w:t>
      </w:r>
    </w:p>
    <w:p>
      <w:pPr>
        <w:adjustRightInd w:val="0"/>
        <w:snapToGrid w:val="0"/>
        <w:spacing w:line="480" w:lineRule="exact"/>
        <w:rPr>
          <w:rFonts w:ascii="宋体" w:hAnsi="宋体" w:cs="宋体"/>
          <w:color w:val="000000" w:themeColor="text1"/>
          <w:spacing w:val="4"/>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（12） 其它与检测相关的行业现行规范、标准。</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第五条： 甲方责任</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szCs w:val="21"/>
          <w14:textFill>
            <w14:solidFill>
              <w14:schemeClr w14:val="tx1"/>
            </w14:solidFill>
          </w14:textFill>
        </w:rPr>
        <w:t>5.1 按时提供设计、施工等资料。</w:t>
      </w:r>
    </w:p>
    <w:p>
      <w:pPr>
        <w:adjustRightInd w:val="0"/>
        <w:snapToGrid w:val="0"/>
        <w:spacing w:line="480" w:lineRule="exact"/>
        <w:ind w:hanging="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2"/>
          <w:szCs w:val="21"/>
          <w14:textFill>
            <w14:solidFill>
              <w14:schemeClr w14:val="tx1"/>
            </w14:solidFill>
          </w14:textFill>
        </w:rPr>
        <w:t>5</w:t>
      </w:r>
      <w:r>
        <w:rPr>
          <w:rFonts w:hint="eastAsia" w:ascii="宋体" w:hAnsi="宋体" w:cs="宋体"/>
          <w:color w:val="000000" w:themeColor="text1"/>
          <w:spacing w:val="7"/>
          <w:szCs w:val="21"/>
          <w14:textFill>
            <w14:solidFill>
              <w14:schemeClr w14:val="tx1"/>
            </w14:solidFill>
          </w14:textFill>
        </w:rPr>
        <w:t>.2 指定乙方开展工作的场地应满足各检测工作的基本场地条件，及时为乙方创造并解</w:t>
      </w:r>
      <w:r>
        <w:rPr>
          <w:rFonts w:hint="eastAsia" w:ascii="宋体" w:hAnsi="宋体" w:cs="宋体"/>
          <w:color w:val="000000" w:themeColor="text1"/>
          <w:spacing w:val="11"/>
          <w:szCs w:val="21"/>
          <w14:textFill>
            <w14:solidFill>
              <w14:schemeClr w14:val="tx1"/>
            </w14:solidFill>
          </w14:textFill>
        </w:rPr>
        <w:t>决</w:t>
      </w:r>
      <w:r>
        <w:rPr>
          <w:rFonts w:hint="eastAsia" w:ascii="宋体" w:hAnsi="宋体" w:cs="宋体"/>
          <w:color w:val="000000" w:themeColor="text1"/>
          <w:spacing w:val="6"/>
          <w:szCs w:val="21"/>
          <w14:textFill>
            <w14:solidFill>
              <w14:schemeClr w14:val="tx1"/>
            </w14:solidFill>
          </w14:textFill>
        </w:rPr>
        <w:t>动测现场条件。</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szCs w:val="21"/>
          <w14:textFill>
            <w14:solidFill>
              <w14:schemeClr w14:val="tx1"/>
            </w14:solidFill>
          </w14:textFill>
        </w:rPr>
        <w:t>5</w:t>
      </w:r>
      <w:r>
        <w:rPr>
          <w:rFonts w:hint="eastAsia" w:ascii="宋体" w:hAnsi="宋体" w:cs="宋体"/>
          <w:color w:val="000000" w:themeColor="text1"/>
          <w:spacing w:val="7"/>
          <w:szCs w:val="21"/>
          <w14:textFill>
            <w14:solidFill>
              <w14:schemeClr w14:val="tx1"/>
            </w14:solidFill>
          </w14:textFill>
        </w:rPr>
        <w:t>.3 按时向乙方支付检测费。</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2"/>
          <w:szCs w:val="21"/>
          <w14:textFill>
            <w14:solidFill>
              <w14:schemeClr w14:val="tx1"/>
            </w14:solidFill>
          </w14:textFill>
        </w:rPr>
        <w:t>第</w:t>
      </w:r>
      <w:r>
        <w:rPr>
          <w:rFonts w:hint="eastAsia" w:ascii="宋体" w:hAnsi="宋体" w:cs="宋体"/>
          <w:color w:val="000000" w:themeColor="text1"/>
          <w:spacing w:val="7"/>
          <w:szCs w:val="21"/>
          <w14:textFill>
            <w14:solidFill>
              <w14:schemeClr w14:val="tx1"/>
            </w14:solidFill>
          </w14:textFill>
        </w:rPr>
        <w:t>六条：乙方责任</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6"/>
          <w:szCs w:val="21"/>
          <w14:textFill>
            <w14:solidFill>
              <w14:schemeClr w14:val="tx1"/>
            </w14:solidFill>
          </w14:textFill>
        </w:rPr>
        <w:t>6.</w:t>
      </w:r>
      <w:r>
        <w:rPr>
          <w:rFonts w:hint="eastAsia" w:ascii="宋体" w:hAnsi="宋体" w:cs="宋体"/>
          <w:color w:val="000000" w:themeColor="text1"/>
          <w:spacing w:val="11"/>
          <w:szCs w:val="21"/>
          <w14:textFill>
            <w14:solidFill>
              <w14:schemeClr w14:val="tx1"/>
            </w14:solidFill>
          </w14:textFill>
        </w:rPr>
        <w:t>1</w:t>
      </w:r>
      <w:r>
        <w:rPr>
          <w:rFonts w:hint="eastAsia" w:ascii="宋体" w:hAnsi="宋体" w:cs="宋体"/>
          <w:color w:val="000000" w:themeColor="text1"/>
          <w:spacing w:val="8"/>
          <w:szCs w:val="21"/>
          <w14:textFill>
            <w14:solidFill>
              <w14:schemeClr w14:val="tx1"/>
            </w14:solidFill>
          </w14:textFill>
        </w:rPr>
        <w:t xml:space="preserve"> 在合同约定的时间内，按时进场检测，按时提交检测报告。</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6"/>
          <w:szCs w:val="21"/>
          <w14:textFill>
            <w14:solidFill>
              <w14:schemeClr w14:val="tx1"/>
            </w14:solidFill>
          </w14:textFill>
        </w:rPr>
        <w:t>6</w:t>
      </w:r>
      <w:r>
        <w:rPr>
          <w:rFonts w:hint="eastAsia" w:ascii="宋体" w:hAnsi="宋体" w:cs="宋体"/>
          <w:color w:val="000000" w:themeColor="text1"/>
          <w:spacing w:val="14"/>
          <w:szCs w:val="21"/>
          <w14:textFill>
            <w14:solidFill>
              <w14:schemeClr w14:val="tx1"/>
            </w14:solidFill>
          </w14:textFill>
        </w:rPr>
        <w:t>.</w:t>
      </w:r>
      <w:r>
        <w:rPr>
          <w:rFonts w:hint="eastAsia" w:ascii="宋体" w:hAnsi="宋体" w:cs="宋体"/>
          <w:color w:val="000000" w:themeColor="text1"/>
          <w:spacing w:val="8"/>
          <w:szCs w:val="21"/>
          <w14:textFill>
            <w14:solidFill>
              <w14:schemeClr w14:val="tx1"/>
            </w14:solidFill>
          </w14:textFill>
        </w:rPr>
        <w:t>2 严格按照国家和行业标准、规范和规程进行检测，确保检测质量，对检测结果负责。</w:t>
      </w:r>
    </w:p>
    <w:p>
      <w:pPr>
        <w:adjustRightInd w:val="0"/>
        <w:snapToGrid w:val="0"/>
        <w:spacing w:line="480" w:lineRule="exact"/>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spacing w:val="9"/>
          <w:szCs w:val="21"/>
          <w14:textFill>
            <w14:solidFill>
              <w14:schemeClr w14:val="tx1"/>
            </w14:solidFill>
          </w14:textFill>
        </w:rPr>
        <w:t>6.3 现场检测工作完成后，乙方应于离开现场后15天内向甲方提交相应检测报告肆份</w:t>
      </w:r>
      <w:r>
        <w:rPr>
          <w:rFonts w:hint="eastAsia" w:ascii="宋体" w:hAnsi="宋体" w:cs="宋体"/>
          <w:color w:val="000000" w:themeColor="text1"/>
          <w:spacing w:val="7"/>
          <w:szCs w:val="21"/>
          <w14:textFill>
            <w14:solidFill>
              <w14:schemeClr w14:val="tx1"/>
            </w14:solidFill>
          </w14:textFill>
        </w:rPr>
        <w:t xml:space="preserve">。6.4 </w:t>
      </w:r>
      <w:r>
        <w:rPr>
          <w:rFonts w:hint="eastAsia" w:ascii="宋体" w:hAnsi="宋体" w:cs="宋体"/>
          <w:color w:val="000000" w:themeColor="text1"/>
          <w:kern w:val="24"/>
          <w:szCs w:val="21"/>
          <w14:textFill>
            <w14:solidFill>
              <w14:schemeClr w14:val="tx1"/>
            </w14:solidFill>
          </w14:textFill>
        </w:rPr>
        <w:t>自行解决在现场开展检测工作所必需的办公、生活、交通、通讯等设施，不得与被检测单位一起办公和食宿。</w:t>
      </w:r>
    </w:p>
    <w:p>
      <w:pPr>
        <w:adjustRightInd w:val="0"/>
        <w:snapToGrid w:val="0"/>
        <w:spacing w:line="480" w:lineRule="exact"/>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6.5 乙方不得与被检测单位有经济利益往来、编制虚假检测数据等现象，若发现乙方有此行为，甲方</w:t>
      </w:r>
      <w:r>
        <w:rPr>
          <w:rFonts w:hint="eastAsia" w:ascii="宋体" w:hAnsi="宋体" w:cs="宋体"/>
          <w:color w:val="000000" w:themeColor="text1"/>
          <w:spacing w:val="2"/>
          <w:szCs w:val="21"/>
          <w14:textFill>
            <w14:solidFill>
              <w14:schemeClr w14:val="tx1"/>
            </w14:solidFill>
          </w14:textFill>
        </w:rPr>
        <w:t>有权通知乙方终止合同，并向行政主管部门通报乙方违纪行为。</w:t>
      </w:r>
    </w:p>
    <w:p>
      <w:pPr>
        <w:adjustRightInd w:val="0"/>
        <w:snapToGrid w:val="0"/>
        <w:spacing w:line="480" w:lineRule="exact"/>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6.6 乙方</w:t>
      </w:r>
      <w:r>
        <w:rPr>
          <w:rFonts w:hint="eastAsia" w:hAnsi="宋体"/>
          <w:color w:val="000000" w:themeColor="text1"/>
          <w:szCs w:val="21"/>
          <w14:textFill>
            <w14:solidFill>
              <w14:schemeClr w14:val="tx1"/>
            </w14:solidFill>
          </w14:textFill>
        </w:rPr>
        <w:t>所有派驻的检测工作人员必须严格遵守安全文明施工的有关规章制度和甲方人规定的相关制度。乙方</w:t>
      </w:r>
      <w:r>
        <w:rPr>
          <w:rFonts w:hint="eastAsia" w:ascii="宋体" w:hAnsi="宋体" w:cs="宋体"/>
          <w:color w:val="000000" w:themeColor="text1"/>
          <w:szCs w:val="21"/>
          <w14:textFill>
            <w14:solidFill>
              <w14:schemeClr w14:val="tx1"/>
            </w14:solidFill>
          </w14:textFill>
        </w:rPr>
        <w:t>在项目实施或服务过程中发生的重大人员、质量、交通事故，或因中标供应商管理不善等原因造成的人员伤亡等责任事故均由乙方负责，甲方不承担任何法律及经济责任。</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5"/>
          <w:szCs w:val="21"/>
          <w14:textFill>
            <w14:solidFill>
              <w14:schemeClr w14:val="tx1"/>
            </w14:solidFill>
          </w14:textFill>
        </w:rPr>
        <w:t>第</w:t>
      </w:r>
      <w:r>
        <w:rPr>
          <w:rFonts w:hint="eastAsia" w:ascii="宋体" w:hAnsi="宋体" w:cs="宋体"/>
          <w:color w:val="000000" w:themeColor="text1"/>
          <w:spacing w:val="8"/>
          <w:szCs w:val="21"/>
          <w14:textFill>
            <w14:solidFill>
              <w14:schemeClr w14:val="tx1"/>
            </w14:solidFill>
          </w14:textFill>
        </w:rPr>
        <w:t>七条：检测费及付款方式</w:t>
      </w:r>
    </w:p>
    <w:p>
      <w:pPr>
        <w:adjustRightInd w:val="0"/>
        <w:snapToGrid w:val="0"/>
        <w:spacing w:line="480" w:lineRule="exact"/>
        <w:rPr>
          <w:rFonts w:ascii="宋体" w:hAnsi="宋体" w:cs="宋体"/>
          <w:color w:val="000000" w:themeColor="text1"/>
          <w:spacing w:val="3"/>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7</w:t>
      </w:r>
      <w:r>
        <w:rPr>
          <w:rFonts w:hint="eastAsia" w:ascii="宋体" w:hAnsi="宋体" w:cs="宋体"/>
          <w:color w:val="000000" w:themeColor="text1"/>
          <w:spacing w:val="3"/>
          <w:szCs w:val="21"/>
          <w14:textFill>
            <w14:solidFill>
              <w14:schemeClr w14:val="tx1"/>
            </w14:solidFill>
          </w14:textFill>
        </w:rPr>
        <w:t xml:space="preserve">.1 检测费：合同总价为           元 (大写：       元) </w:t>
      </w:r>
    </w:p>
    <w:p>
      <w:pPr>
        <w:pStyle w:val="105"/>
        <w:adjustRightInd w:val="0"/>
        <w:snapToGrid w:val="0"/>
        <w:spacing w:line="480" w:lineRule="exact"/>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7.2结算价：</w:t>
      </w:r>
    </w:p>
    <w:p>
      <w:pPr>
        <w:pStyle w:val="105"/>
        <w:adjustRightInd w:val="0"/>
        <w:snapToGrid w:val="0"/>
        <w:spacing w:line="480" w:lineRule="exact"/>
        <w:ind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1）</w:t>
      </w:r>
      <w:r>
        <w:rPr>
          <w:rFonts w:hint="eastAsia" w:ascii="宋体" w:hAnsi="宋体"/>
          <w:color w:val="000000" w:themeColor="text1"/>
          <w14:textFill>
            <w14:solidFill>
              <w14:schemeClr w14:val="tx1"/>
            </w14:solidFill>
          </w14:textFill>
        </w:rPr>
        <w:t>低应变检测、竖向抗压静载</w:t>
      </w:r>
      <w:r>
        <w:rPr>
          <w:rFonts w:hint="eastAsia" w:ascii="宋体" w:hAnsi="宋体" w:cs="宋体"/>
          <w:color w:val="000000" w:themeColor="text1"/>
          <w:spacing w:val="7"/>
          <w:szCs w:val="21"/>
          <w:lang w:bidi="en-US"/>
          <w14:textFill>
            <w14:solidFill>
              <w14:schemeClr w14:val="tx1"/>
            </w14:solidFill>
          </w14:textFill>
        </w:rPr>
        <w:t>（堆载法）</w:t>
      </w:r>
      <w:r>
        <w:rPr>
          <w:rFonts w:hint="eastAsia" w:ascii="宋体" w:hAnsi="宋体"/>
          <w:color w:val="000000" w:themeColor="text1"/>
          <w14:textFill>
            <w14:solidFill>
              <w14:schemeClr w14:val="tx1"/>
            </w14:solidFill>
          </w14:textFill>
        </w:rPr>
        <w:t>检测、竖向抗拔静载检测、钻芯法检测费用按照该单项实际检测数量×中标单价进行该单项检测费用结算。</w:t>
      </w:r>
    </w:p>
    <w:p>
      <w:pPr>
        <w:pStyle w:val="105"/>
        <w:adjustRightInd w:val="0"/>
        <w:snapToGrid w:val="0"/>
        <w:spacing w:line="480" w:lineRule="exact"/>
        <w:ind w:firstLine="0" w:firstLineChars="0"/>
        <w:rPr>
          <w:rFonts w:ascii="宋体" w:hAnsi="宋体" w:cs="宋体"/>
          <w:bCs/>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（2）常规检测费用（包括见证取样检测、主体结构检测、建筑节能检测、沉降观测检测、钢结构检测、市政道路检测、甲方指定的其它常规检测等）按中标总体包干价进行费用结算。</w:t>
      </w:r>
    </w:p>
    <w:p>
      <w:pPr>
        <w:adjustRightInd w:val="0"/>
        <w:snapToGrid w:val="0"/>
        <w:spacing w:line="480" w:lineRule="exact"/>
        <w:jc w:val="left"/>
        <w:rPr>
          <w:rFonts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spacing w:val="5"/>
          <w:szCs w:val="21"/>
          <w14:textFill>
            <w14:solidFill>
              <w14:schemeClr w14:val="tx1"/>
            </w14:solidFill>
          </w14:textFill>
        </w:rPr>
        <w:t>7.3 付款方式：</w:t>
      </w:r>
      <w:r>
        <w:rPr>
          <w:rFonts w:hint="eastAsia" w:ascii="宋体" w:hAnsi="宋体" w:cs="宋体"/>
          <w:color w:val="000000" w:themeColor="text1"/>
          <w:szCs w:val="21"/>
          <w14:textFill>
            <w14:solidFill>
              <w14:schemeClr w14:val="tx1"/>
            </w14:solidFill>
          </w14:textFill>
        </w:rPr>
        <w:t>地基基础检测服务完成并经过建筑行业主管部门验收合格</w:t>
      </w:r>
      <w:r>
        <w:rPr>
          <w:rFonts w:hint="eastAsia" w:ascii="宋体" w:hAnsi="宋体" w:cs="宋体"/>
          <w:bCs/>
          <w:color w:val="000000" w:themeColor="text1"/>
          <w:kern w:val="0"/>
          <w:szCs w:val="21"/>
          <w14:textFill>
            <w14:solidFill>
              <w14:schemeClr w14:val="tx1"/>
            </w14:solidFill>
          </w14:textFill>
        </w:rPr>
        <w:t>后，支付实际已完成检测费用金额的70%，</w:t>
      </w:r>
      <w:r>
        <w:rPr>
          <w:rFonts w:hint="eastAsia" w:ascii="宋体" w:hAnsi="宋体" w:cs="宋体"/>
          <w:color w:val="000000" w:themeColor="text1"/>
          <w:szCs w:val="21"/>
          <w14:textFill>
            <w14:solidFill>
              <w14:schemeClr w14:val="tx1"/>
            </w14:solidFill>
          </w14:textFill>
        </w:rPr>
        <w:t>提交全部正式检测报告且工程综合验收合格后一个月内全部付清剩余检测费用（双方据实结算，不计息）</w:t>
      </w:r>
      <w:r>
        <w:rPr>
          <w:rFonts w:hint="eastAsia" w:ascii="宋体" w:hAnsi="宋体" w:cs="宋体"/>
          <w:bCs/>
          <w:color w:val="000000" w:themeColor="text1"/>
          <w:kern w:val="0"/>
          <w:szCs w:val="21"/>
          <w14:textFill>
            <w14:solidFill>
              <w14:schemeClr w14:val="tx1"/>
            </w14:solidFill>
          </w14:textFill>
        </w:rPr>
        <w:t>。</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2"/>
          <w:szCs w:val="21"/>
          <w14:textFill>
            <w14:solidFill>
              <w14:schemeClr w14:val="tx1"/>
            </w14:solidFill>
          </w14:textFill>
        </w:rPr>
        <w:t>第</w:t>
      </w:r>
      <w:r>
        <w:rPr>
          <w:rFonts w:hint="eastAsia" w:ascii="宋体" w:hAnsi="宋体" w:cs="宋体"/>
          <w:color w:val="000000" w:themeColor="text1"/>
          <w:spacing w:val="7"/>
          <w:szCs w:val="21"/>
          <w14:textFill>
            <w14:solidFill>
              <w14:schemeClr w14:val="tx1"/>
            </w14:solidFill>
          </w14:textFill>
        </w:rPr>
        <w:t>八条：违约责任</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8.1 乙方的责任：</w:t>
      </w:r>
    </w:p>
    <w:p>
      <w:pPr>
        <w:adjustRightInd w:val="0"/>
        <w:snapToGrid w:val="0"/>
        <w:spacing w:line="480" w:lineRule="exact"/>
        <w:ind w:hanging="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2"/>
          <w:szCs w:val="21"/>
          <w14:textFill>
            <w14:solidFill>
              <w14:schemeClr w14:val="tx1"/>
            </w14:solidFill>
          </w14:textFill>
        </w:rPr>
        <w:t>8.1.</w:t>
      </w:r>
      <w:r>
        <w:rPr>
          <w:rFonts w:hint="eastAsia" w:ascii="宋体" w:hAnsi="宋体" w:cs="宋体"/>
          <w:color w:val="000000" w:themeColor="text1"/>
          <w:spacing w:val="8"/>
          <w:szCs w:val="21"/>
          <w14:textFill>
            <w14:solidFill>
              <w14:schemeClr w14:val="tx1"/>
            </w14:solidFill>
          </w14:textFill>
        </w:rPr>
        <w:t>1</w:t>
      </w:r>
      <w:r>
        <w:rPr>
          <w:rFonts w:hint="eastAsia" w:ascii="宋体" w:hAnsi="宋体" w:cs="宋体"/>
          <w:color w:val="000000" w:themeColor="text1"/>
          <w:spacing w:val="6"/>
          <w:szCs w:val="21"/>
          <w14:textFill>
            <w14:solidFill>
              <w14:schemeClr w14:val="tx1"/>
            </w14:solidFill>
          </w14:textFill>
        </w:rPr>
        <w:t xml:space="preserve"> 因乙方责任造成检测工作未按期完成的，乙方应按中标检测费总价的0.5%/天承担</w:t>
      </w:r>
      <w:r>
        <w:rPr>
          <w:rFonts w:hint="eastAsia" w:ascii="宋体" w:hAnsi="宋体" w:cs="宋体"/>
          <w:color w:val="000000" w:themeColor="text1"/>
          <w:spacing w:val="8"/>
          <w:szCs w:val="21"/>
          <w14:textFill>
            <w14:solidFill>
              <w14:schemeClr w14:val="tx1"/>
            </w14:solidFill>
          </w14:textFill>
        </w:rPr>
        <w:t>违约责任，最多不超过</w:t>
      </w:r>
      <w:r>
        <w:rPr>
          <w:rFonts w:hint="eastAsia" w:ascii="宋体" w:hAnsi="宋体" w:cs="宋体"/>
          <w:color w:val="000000" w:themeColor="text1"/>
          <w:spacing w:val="6"/>
          <w:szCs w:val="21"/>
          <w14:textFill>
            <w14:solidFill>
              <w14:schemeClr w14:val="tx1"/>
            </w14:solidFill>
          </w14:textFill>
        </w:rPr>
        <w:t>中标检测费总价</w:t>
      </w:r>
      <w:r>
        <w:rPr>
          <w:rFonts w:hint="eastAsia" w:ascii="宋体" w:hAnsi="宋体" w:cs="宋体"/>
          <w:color w:val="000000" w:themeColor="text1"/>
          <w:spacing w:val="8"/>
          <w:szCs w:val="21"/>
          <w14:textFill>
            <w14:solidFill>
              <w14:schemeClr w14:val="tx1"/>
            </w14:solidFill>
          </w14:textFill>
        </w:rPr>
        <w:t xml:space="preserve"> 10%</w:t>
      </w:r>
      <w:r>
        <w:rPr>
          <w:rFonts w:hint="eastAsia" w:ascii="宋体" w:hAnsi="宋体" w:cs="宋体"/>
          <w:color w:val="000000" w:themeColor="text1"/>
          <w:spacing w:val="4"/>
          <w:szCs w:val="21"/>
          <w14:textFill>
            <w14:solidFill>
              <w14:schemeClr w14:val="tx1"/>
            </w14:solidFill>
          </w14:textFill>
        </w:rPr>
        <w:t>。</w:t>
      </w:r>
    </w:p>
    <w:p>
      <w:pPr>
        <w:adjustRightInd w:val="0"/>
        <w:snapToGrid w:val="0"/>
        <w:spacing w:line="480" w:lineRule="exact"/>
        <w:ind w:hanging="1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14:textFill>
            <w14:solidFill>
              <w14:schemeClr w14:val="tx1"/>
            </w14:solidFill>
          </w14:textFill>
        </w:rPr>
        <w:t>8</w:t>
      </w:r>
      <w:r>
        <w:rPr>
          <w:rFonts w:hint="eastAsia" w:ascii="宋体" w:hAnsi="宋体" w:cs="宋体"/>
          <w:color w:val="000000" w:themeColor="text1"/>
          <w:spacing w:val="7"/>
          <w:szCs w:val="21"/>
          <w14:textFill>
            <w14:solidFill>
              <w14:schemeClr w14:val="tx1"/>
            </w14:solidFill>
          </w14:textFill>
        </w:rPr>
        <w:t>.1.2 乙方应对本工程检测结果的真实性、准确性、完整性负责，并对检测成果承诺终身</w:t>
      </w:r>
      <w:r>
        <w:rPr>
          <w:rFonts w:hint="eastAsia" w:ascii="宋体" w:hAnsi="宋体" w:cs="宋体"/>
          <w:color w:val="000000" w:themeColor="text1"/>
          <w:spacing w:val="10"/>
          <w:szCs w:val="21"/>
          <w14:textFill>
            <w14:solidFill>
              <w14:schemeClr w14:val="tx1"/>
            </w14:solidFill>
          </w14:textFill>
        </w:rPr>
        <w:t>负责制</w:t>
      </w:r>
      <w:r>
        <w:rPr>
          <w:rFonts w:hint="eastAsia" w:ascii="宋体" w:hAnsi="宋体" w:cs="宋体"/>
          <w:color w:val="000000" w:themeColor="text1"/>
          <w:spacing w:val="7"/>
          <w:szCs w:val="21"/>
          <w14:textFill>
            <w14:solidFill>
              <w14:schemeClr w14:val="tx1"/>
            </w14:solidFill>
          </w14:textFill>
        </w:rPr>
        <w:t>。</w:t>
      </w:r>
      <w:r>
        <w:rPr>
          <w:rFonts w:hint="eastAsia" w:ascii="宋体" w:hAnsi="宋体" w:cs="宋体"/>
          <w:color w:val="000000" w:themeColor="text1"/>
          <w:spacing w:val="5"/>
          <w:szCs w:val="21"/>
          <w14:textFill>
            <w14:solidFill>
              <w14:schemeClr w14:val="tx1"/>
            </w14:solidFill>
          </w14:textFill>
        </w:rPr>
        <w:t>因乙方原因造成甲方经济损失的，</w:t>
      </w:r>
      <w:r>
        <w:rPr>
          <w:rFonts w:hint="eastAsia" w:ascii="宋体" w:hAnsi="宋体" w:cs="宋体"/>
          <w:bCs/>
          <w:color w:val="000000" w:themeColor="text1"/>
          <w:szCs w:val="21"/>
          <w14:textFill>
            <w14:solidFill>
              <w14:schemeClr w14:val="tx1"/>
            </w14:solidFill>
          </w14:textFill>
        </w:rPr>
        <w:t>乙方除应负法律责任外，还应根据损失程度向甲方支付赔偿金，赔偿金由甲乙双方商定，同时承担中标检测费总价10%的违约金处罚</w:t>
      </w:r>
      <w:r>
        <w:rPr>
          <w:rFonts w:hint="eastAsia" w:ascii="宋体" w:hAnsi="宋体" w:cs="宋体"/>
          <w:color w:val="000000" w:themeColor="text1"/>
          <w:szCs w:val="21"/>
          <w14:textFill>
            <w14:solidFill>
              <w14:schemeClr w14:val="tx1"/>
            </w14:solidFill>
          </w14:textFill>
        </w:rPr>
        <w:t>。双方若协商不成，则</w:t>
      </w:r>
      <w:r>
        <w:rPr>
          <w:rFonts w:hint="eastAsia" w:ascii="宋体" w:hAnsi="宋体" w:cs="宋体"/>
          <w:bCs/>
          <w:color w:val="000000" w:themeColor="text1"/>
          <w:szCs w:val="21"/>
          <w14:textFill>
            <w14:solidFill>
              <w14:schemeClr w14:val="tx1"/>
            </w14:solidFill>
          </w14:textFill>
        </w:rPr>
        <w:t>可申请仲裁或向合同履行地法院起诉。</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8.1.3 乙方须合理组织工期。在接到甲方口头或书面进场通知时，应在48小时内进场</w:t>
      </w:r>
      <w:r>
        <w:rPr>
          <w:rFonts w:hint="eastAsia" w:ascii="宋体" w:hAnsi="宋体" w:cs="宋体"/>
          <w:color w:val="000000" w:themeColor="text1"/>
          <w:spacing w:val="2"/>
          <w:szCs w:val="21"/>
          <w14:textFill>
            <w14:solidFill>
              <w14:schemeClr w14:val="tx1"/>
            </w14:solidFill>
          </w14:textFill>
        </w:rPr>
        <w:t>检</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测(不可抗力因素除外)。 在接到甲方口头或书面退场通知时，应在48小时内完成检</w:t>
      </w:r>
      <w:r>
        <w:rPr>
          <w:rFonts w:hint="eastAsia" w:ascii="宋体" w:hAnsi="宋体" w:cs="宋体"/>
          <w:color w:val="000000" w:themeColor="text1"/>
          <w:spacing w:val="3"/>
          <w:szCs w:val="21"/>
          <w14:textFill>
            <w14:solidFill>
              <w14:schemeClr w14:val="tx1"/>
            </w14:solidFill>
          </w14:textFill>
        </w:rPr>
        <w:t>测</w:t>
      </w:r>
      <w:r>
        <w:rPr>
          <w:rFonts w:hint="eastAsia" w:ascii="宋体" w:hAnsi="宋体" w:cs="宋体"/>
          <w:color w:val="000000" w:themeColor="text1"/>
          <w:spacing w:val="1"/>
          <w:szCs w:val="21"/>
          <w14:textFill>
            <w14:solidFill>
              <w14:schemeClr w14:val="tx1"/>
            </w14:solidFill>
          </w14:textFill>
        </w:rPr>
        <w:t>设备的退场(不可抗力因素除外) 。若乙方未达到以上要</w:t>
      </w:r>
      <w:r>
        <w:rPr>
          <w:rFonts w:hint="eastAsia" w:ascii="宋体" w:hAnsi="宋体" w:cs="宋体"/>
          <w:color w:val="000000" w:themeColor="text1"/>
          <w:szCs w:val="21"/>
          <w14:textFill>
            <w14:solidFill>
              <w14:schemeClr w14:val="tx1"/>
            </w14:solidFill>
          </w14:textFill>
        </w:rPr>
        <w:t>求，则给予每次3000元的处罚。罚款金额可在检测费用中予以扣除。</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8.2 甲方的责任：</w:t>
      </w:r>
    </w:p>
    <w:p>
      <w:pPr>
        <w:adjustRightInd w:val="0"/>
        <w:snapToGrid w:val="0"/>
        <w:spacing w:line="480" w:lineRule="exact"/>
        <w:ind w:hanging="1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14:textFill>
            <w14:solidFill>
              <w14:schemeClr w14:val="tx1"/>
            </w14:solidFill>
          </w14:textFill>
        </w:rPr>
        <w:t>8</w:t>
      </w:r>
      <w:r>
        <w:rPr>
          <w:rFonts w:hint="eastAsia" w:ascii="宋体" w:hAnsi="宋体" w:cs="宋体"/>
          <w:color w:val="000000" w:themeColor="text1"/>
          <w:spacing w:val="7"/>
          <w:szCs w:val="21"/>
          <w14:textFill>
            <w14:solidFill>
              <w14:schemeClr w14:val="tx1"/>
            </w14:solidFill>
          </w14:textFill>
        </w:rPr>
        <w:t>.2.1 因甲方原因工程中途停建、缓建或由于设计变更以及设计错误造成的工期延误应由甲方负责。</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szCs w:val="21"/>
          <w14:textFill>
            <w14:solidFill>
              <w14:schemeClr w14:val="tx1"/>
            </w14:solidFill>
          </w14:textFill>
        </w:rPr>
        <w:t>第</w:t>
      </w:r>
      <w:r>
        <w:rPr>
          <w:rFonts w:hint="eastAsia" w:ascii="宋体" w:hAnsi="宋体" w:cs="宋体"/>
          <w:color w:val="000000" w:themeColor="text1"/>
          <w:spacing w:val="6"/>
          <w:szCs w:val="21"/>
          <w14:textFill>
            <w14:solidFill>
              <w14:schemeClr w14:val="tx1"/>
            </w14:solidFill>
          </w14:textFill>
        </w:rPr>
        <w:t>九条：变更</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position w:val="2"/>
          <w:szCs w:val="21"/>
          <w14:textFill>
            <w14:solidFill>
              <w14:schemeClr w14:val="tx1"/>
            </w14:solidFill>
          </w14:textFill>
        </w:rPr>
        <w:t>9</w:t>
      </w:r>
      <w:r>
        <w:rPr>
          <w:rFonts w:hint="eastAsia" w:ascii="宋体" w:hAnsi="宋体" w:cs="宋体"/>
          <w:color w:val="000000" w:themeColor="text1"/>
          <w:spacing w:val="6"/>
          <w:position w:val="2"/>
          <w:szCs w:val="21"/>
          <w14:textFill>
            <w14:solidFill>
              <w14:schemeClr w14:val="tx1"/>
            </w14:solidFill>
          </w14:textFill>
        </w:rPr>
        <w:t>.1 一般规定</w:t>
      </w:r>
    </w:p>
    <w:p>
      <w:pPr>
        <w:adjustRightInd w:val="0"/>
        <w:snapToGrid w:val="0"/>
        <w:spacing w:line="480" w:lineRule="exact"/>
        <w:ind w:hanging="2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14:textFill>
            <w14:solidFill>
              <w14:schemeClr w14:val="tx1"/>
            </w14:solidFill>
          </w14:textFill>
        </w:rPr>
        <w:t>9.1.1 变更是因特殊原因变更 (该特殊原因是指检测工作在满足规范和检测任务书要</w:t>
      </w:r>
      <w:r>
        <w:rPr>
          <w:rFonts w:hint="eastAsia" w:ascii="宋体" w:hAnsi="宋体" w:cs="宋体"/>
          <w:color w:val="000000" w:themeColor="text1"/>
          <w:spacing w:val="1"/>
          <w:szCs w:val="21"/>
          <w14:textFill>
            <w14:solidFill>
              <w14:schemeClr w14:val="tx1"/>
            </w14:solidFill>
          </w14:textFill>
        </w:rPr>
        <w:t>求</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pacing w:val="2"/>
          <w:szCs w:val="21"/>
          <w14:textFill>
            <w14:solidFill>
              <w14:schemeClr w14:val="tx1"/>
            </w14:solidFill>
          </w14:textFill>
        </w:rPr>
        <w:t xml:space="preserve">时，甲方提出增减报价表内工程量和项目) </w:t>
      </w:r>
      <w:r>
        <w:rPr>
          <w:rFonts w:hint="eastAsia" w:ascii="宋体" w:hAnsi="宋体" w:cs="宋体"/>
          <w:color w:val="000000" w:themeColor="text1"/>
          <w:spacing w:val="1"/>
          <w:szCs w:val="21"/>
          <w14:textFill>
            <w14:solidFill>
              <w14:schemeClr w14:val="tx1"/>
            </w14:solidFill>
          </w14:textFill>
        </w:rPr>
        <w:t>。</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6"/>
          <w:szCs w:val="21"/>
          <w14:textFill>
            <w14:solidFill>
              <w14:schemeClr w14:val="tx1"/>
            </w14:solidFill>
          </w14:textFill>
        </w:rPr>
        <w:t>9</w:t>
      </w:r>
      <w:r>
        <w:rPr>
          <w:rFonts w:hint="eastAsia" w:ascii="宋体" w:hAnsi="宋体" w:cs="宋体"/>
          <w:color w:val="000000" w:themeColor="text1"/>
          <w:spacing w:val="10"/>
          <w:szCs w:val="21"/>
          <w14:textFill>
            <w14:solidFill>
              <w14:schemeClr w14:val="tx1"/>
            </w14:solidFill>
          </w14:textFill>
        </w:rPr>
        <w:t>.</w:t>
      </w:r>
      <w:r>
        <w:rPr>
          <w:rFonts w:hint="eastAsia" w:ascii="宋体" w:hAnsi="宋体" w:cs="宋体"/>
          <w:color w:val="000000" w:themeColor="text1"/>
          <w:spacing w:val="8"/>
          <w:szCs w:val="21"/>
          <w14:textFill>
            <w14:solidFill>
              <w14:schemeClr w14:val="tx1"/>
            </w14:solidFill>
          </w14:textFill>
        </w:rPr>
        <w:t>1.2 任何检测变更都必须以甲方签发的检测变更通知为准。</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6"/>
          <w:szCs w:val="21"/>
          <w14:textFill>
            <w14:solidFill>
              <w14:schemeClr w14:val="tx1"/>
            </w14:solidFill>
          </w14:textFill>
        </w:rPr>
        <w:t>9.</w:t>
      </w:r>
      <w:r>
        <w:rPr>
          <w:rFonts w:hint="eastAsia" w:ascii="宋体" w:hAnsi="宋体" w:cs="宋体"/>
          <w:color w:val="000000" w:themeColor="text1"/>
          <w:spacing w:val="12"/>
          <w:szCs w:val="21"/>
          <w14:textFill>
            <w14:solidFill>
              <w14:schemeClr w14:val="tx1"/>
            </w14:solidFill>
          </w14:textFill>
        </w:rPr>
        <w:t>1</w:t>
      </w:r>
      <w:r>
        <w:rPr>
          <w:rFonts w:hint="eastAsia" w:ascii="宋体" w:hAnsi="宋体" w:cs="宋体"/>
          <w:color w:val="000000" w:themeColor="text1"/>
          <w:spacing w:val="8"/>
          <w:szCs w:val="21"/>
          <w14:textFill>
            <w14:solidFill>
              <w14:schemeClr w14:val="tx1"/>
            </w14:solidFill>
          </w14:textFill>
        </w:rPr>
        <w:t>.3 甲方负责对因变更而增加的检测工期进行确认。</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szCs w:val="21"/>
          <w14:textFill>
            <w14:solidFill>
              <w14:schemeClr w14:val="tx1"/>
            </w14:solidFill>
          </w14:textFill>
        </w:rPr>
        <w:t>9</w:t>
      </w:r>
      <w:r>
        <w:rPr>
          <w:rFonts w:hint="eastAsia" w:ascii="宋体" w:hAnsi="宋体" w:cs="宋体"/>
          <w:color w:val="000000" w:themeColor="text1"/>
          <w:spacing w:val="6"/>
          <w:szCs w:val="21"/>
          <w14:textFill>
            <w14:solidFill>
              <w14:schemeClr w14:val="tx1"/>
            </w14:solidFill>
          </w14:textFill>
        </w:rPr>
        <w:t>.2 办理程序</w:t>
      </w:r>
    </w:p>
    <w:p>
      <w:pPr>
        <w:adjustRightInd w:val="0"/>
        <w:snapToGrid w:val="0"/>
        <w:spacing w:line="480" w:lineRule="exact"/>
        <w:ind w:hanging="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14:textFill>
            <w14:solidFill>
              <w14:schemeClr w14:val="tx1"/>
            </w14:solidFill>
          </w14:textFill>
        </w:rPr>
        <w:t>9</w:t>
      </w:r>
      <w:r>
        <w:rPr>
          <w:rFonts w:hint="eastAsia" w:ascii="宋体" w:hAnsi="宋体" w:cs="宋体"/>
          <w:color w:val="000000" w:themeColor="text1"/>
          <w:spacing w:val="7"/>
          <w:szCs w:val="21"/>
          <w14:textFill>
            <w14:solidFill>
              <w14:schemeClr w14:val="tx1"/>
            </w14:solidFill>
          </w14:textFill>
        </w:rPr>
        <w:t>.2.1 检测变更执行：乙方在收到甲方签发的有关检测变更通知当日内应予确认，并按变</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pacing w:val="11"/>
          <w:szCs w:val="21"/>
          <w14:textFill>
            <w14:solidFill>
              <w14:schemeClr w14:val="tx1"/>
            </w14:solidFill>
          </w14:textFill>
        </w:rPr>
        <w:t>更</w:t>
      </w:r>
      <w:r>
        <w:rPr>
          <w:rFonts w:hint="eastAsia" w:ascii="宋体" w:hAnsi="宋体" w:cs="宋体"/>
          <w:color w:val="000000" w:themeColor="text1"/>
          <w:spacing w:val="7"/>
          <w:szCs w:val="21"/>
          <w14:textFill>
            <w14:solidFill>
              <w14:schemeClr w14:val="tx1"/>
            </w14:solidFill>
          </w14:textFill>
        </w:rPr>
        <w:t>通知的内容进行变更。</w:t>
      </w:r>
    </w:p>
    <w:p>
      <w:pPr>
        <w:adjustRightInd w:val="0"/>
        <w:snapToGrid w:val="0"/>
        <w:spacing w:line="480" w:lineRule="exact"/>
        <w:ind w:hanging="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6"/>
          <w:szCs w:val="21"/>
          <w14:textFill>
            <w14:solidFill>
              <w14:schemeClr w14:val="tx1"/>
            </w14:solidFill>
          </w14:textFill>
        </w:rPr>
        <w:t>9.</w:t>
      </w:r>
      <w:r>
        <w:rPr>
          <w:rFonts w:hint="eastAsia" w:ascii="宋体" w:hAnsi="宋体" w:cs="宋体"/>
          <w:color w:val="000000" w:themeColor="text1"/>
          <w:spacing w:val="15"/>
          <w:szCs w:val="21"/>
          <w14:textFill>
            <w14:solidFill>
              <w14:schemeClr w14:val="tx1"/>
            </w14:solidFill>
          </w14:textFill>
        </w:rPr>
        <w:t>2</w:t>
      </w:r>
      <w:r>
        <w:rPr>
          <w:rFonts w:hint="eastAsia" w:ascii="宋体" w:hAnsi="宋体" w:cs="宋体"/>
          <w:color w:val="000000" w:themeColor="text1"/>
          <w:spacing w:val="8"/>
          <w:szCs w:val="21"/>
          <w14:textFill>
            <w14:solidFill>
              <w14:schemeClr w14:val="tx1"/>
            </w14:solidFill>
          </w14:textFill>
        </w:rPr>
        <w:t>.2 乙方按 9.3 费用及周期的确定原则，对变更后的工作应做好现场签证事项，在监理人签</w:t>
      </w:r>
      <w:r>
        <w:rPr>
          <w:rFonts w:hint="eastAsia" w:ascii="宋体" w:hAnsi="宋体" w:cs="宋体"/>
          <w:color w:val="000000" w:themeColor="text1"/>
          <w:spacing w:val="16"/>
          <w:szCs w:val="21"/>
          <w14:textFill>
            <w14:solidFill>
              <w14:schemeClr w14:val="tx1"/>
            </w14:solidFill>
          </w14:textFill>
        </w:rPr>
        <w:t>字确</w:t>
      </w:r>
      <w:r>
        <w:rPr>
          <w:rFonts w:hint="eastAsia" w:ascii="宋体" w:hAnsi="宋体" w:cs="宋体"/>
          <w:color w:val="000000" w:themeColor="text1"/>
          <w:spacing w:val="12"/>
          <w:szCs w:val="21"/>
          <w14:textFill>
            <w14:solidFill>
              <w14:schemeClr w14:val="tx1"/>
            </w14:solidFill>
          </w14:textFill>
        </w:rPr>
        <w:t>认</w:t>
      </w:r>
      <w:r>
        <w:rPr>
          <w:rFonts w:hint="eastAsia" w:ascii="宋体" w:hAnsi="宋体" w:cs="宋体"/>
          <w:color w:val="000000" w:themeColor="text1"/>
          <w:spacing w:val="8"/>
          <w:szCs w:val="21"/>
          <w14:textFill>
            <w14:solidFill>
              <w14:schemeClr w14:val="tx1"/>
            </w14:solidFill>
          </w14:textFill>
        </w:rPr>
        <w:t>后报甲方审核及确认。</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3"/>
          <w:szCs w:val="21"/>
          <w14:textFill>
            <w14:solidFill>
              <w14:schemeClr w14:val="tx1"/>
            </w14:solidFill>
          </w14:textFill>
        </w:rPr>
        <w:t>9</w:t>
      </w:r>
      <w:r>
        <w:rPr>
          <w:rFonts w:hint="eastAsia" w:ascii="宋体" w:hAnsi="宋体" w:cs="宋体"/>
          <w:color w:val="000000" w:themeColor="text1"/>
          <w:spacing w:val="7"/>
          <w:szCs w:val="21"/>
          <w14:textFill>
            <w14:solidFill>
              <w14:schemeClr w14:val="tx1"/>
            </w14:solidFill>
          </w14:textFill>
        </w:rPr>
        <w:t>.3 费用及周期的确定</w:t>
      </w:r>
    </w:p>
    <w:p>
      <w:pPr>
        <w:adjustRightInd w:val="0"/>
        <w:snapToGrid w:val="0"/>
        <w:spacing w:line="480" w:lineRule="exact"/>
        <w:ind w:hanging="1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14:textFill>
            <w14:solidFill>
              <w14:schemeClr w14:val="tx1"/>
            </w14:solidFill>
          </w14:textFill>
        </w:rPr>
        <w:t>9</w:t>
      </w:r>
      <w:r>
        <w:rPr>
          <w:rFonts w:hint="eastAsia" w:ascii="宋体" w:hAnsi="宋体" w:cs="宋体"/>
          <w:color w:val="000000" w:themeColor="text1"/>
          <w:spacing w:val="7"/>
          <w:szCs w:val="21"/>
          <w14:textFill>
            <w14:solidFill>
              <w14:schemeClr w14:val="tx1"/>
            </w14:solidFill>
          </w14:textFill>
        </w:rPr>
        <w:t>.3.1 非甲方方原因造成的变更，其工期影响和变更费用甲方不予延期和补偿，由乙方自行</w:t>
      </w:r>
      <w:r>
        <w:rPr>
          <w:rFonts w:hint="eastAsia" w:ascii="宋体" w:hAnsi="宋体" w:cs="宋体"/>
          <w:color w:val="000000" w:themeColor="text1"/>
          <w:spacing w:val="-1"/>
          <w:szCs w:val="21"/>
          <w14:textFill>
            <w14:solidFill>
              <w14:schemeClr w14:val="tx1"/>
            </w14:solidFill>
          </w14:textFill>
        </w:rPr>
        <w:t>负责。</w:t>
      </w:r>
    </w:p>
    <w:p>
      <w:pPr>
        <w:adjustRightInd w:val="0"/>
        <w:snapToGrid w:val="0"/>
        <w:spacing w:line="480" w:lineRule="exact"/>
        <w:ind w:hanging="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14:textFill>
            <w14:solidFill>
              <w14:schemeClr w14:val="tx1"/>
            </w14:solidFill>
          </w14:textFill>
        </w:rPr>
        <w:t>9</w:t>
      </w:r>
      <w:r>
        <w:rPr>
          <w:rFonts w:hint="eastAsia" w:ascii="宋体" w:hAnsi="宋体" w:cs="宋体"/>
          <w:color w:val="000000" w:themeColor="text1"/>
          <w:spacing w:val="7"/>
          <w:szCs w:val="21"/>
          <w14:textFill>
            <w14:solidFill>
              <w14:schemeClr w14:val="tx1"/>
            </w14:solidFill>
          </w14:textFill>
        </w:rPr>
        <w:t>.3.2 因甲方原因导致的变更而产生的工作量变化，除检测成果性文件的提交时间另定外，甲方不补偿因为变更而增加的检测费用。</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2"/>
          <w:szCs w:val="21"/>
          <w14:textFill>
            <w14:solidFill>
              <w14:schemeClr w14:val="tx1"/>
            </w14:solidFill>
          </w14:textFill>
        </w:rPr>
        <w:t>第</w:t>
      </w:r>
      <w:r>
        <w:rPr>
          <w:rFonts w:hint="eastAsia" w:ascii="宋体" w:hAnsi="宋体" w:cs="宋体"/>
          <w:color w:val="000000" w:themeColor="text1"/>
          <w:spacing w:val="7"/>
          <w:szCs w:val="21"/>
          <w14:textFill>
            <w14:solidFill>
              <w14:schemeClr w14:val="tx1"/>
            </w14:solidFill>
          </w14:textFill>
        </w:rPr>
        <w:t>十条：不可抗力</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1</w:t>
      </w:r>
      <w:r>
        <w:rPr>
          <w:rFonts w:hint="eastAsia" w:ascii="宋体" w:hAnsi="宋体" w:cs="宋体"/>
          <w:color w:val="000000" w:themeColor="text1"/>
          <w:spacing w:val="8"/>
          <w:szCs w:val="21"/>
          <w14:textFill>
            <w14:solidFill>
              <w14:schemeClr w14:val="tx1"/>
            </w14:solidFill>
          </w14:textFill>
        </w:rPr>
        <w:t>0</w:t>
      </w:r>
      <w:r>
        <w:rPr>
          <w:rFonts w:hint="eastAsia" w:ascii="宋体" w:hAnsi="宋体" w:cs="宋体"/>
          <w:color w:val="000000" w:themeColor="text1"/>
          <w:spacing w:val="5"/>
          <w:szCs w:val="21"/>
          <w14:textFill>
            <w14:solidFill>
              <w14:schemeClr w14:val="tx1"/>
            </w14:solidFill>
          </w14:textFill>
        </w:rPr>
        <w:t>.1 不可抗力的定义</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szCs w:val="21"/>
          <w14:textFill>
            <w14:solidFill>
              <w14:schemeClr w14:val="tx1"/>
            </w14:solidFill>
          </w14:textFill>
        </w:rPr>
        <w:t>1</w:t>
      </w:r>
      <w:r>
        <w:rPr>
          <w:rFonts w:hint="eastAsia" w:ascii="宋体" w:hAnsi="宋体" w:cs="宋体"/>
          <w:color w:val="000000" w:themeColor="text1"/>
          <w:spacing w:val="6"/>
          <w:szCs w:val="21"/>
          <w14:textFill>
            <w14:solidFill>
              <w14:schemeClr w14:val="tx1"/>
            </w14:solidFill>
          </w14:textFill>
        </w:rPr>
        <w:t>0</w:t>
      </w:r>
      <w:r>
        <w:rPr>
          <w:rFonts w:hint="eastAsia" w:ascii="宋体" w:hAnsi="宋体" w:cs="宋体"/>
          <w:color w:val="000000" w:themeColor="text1"/>
          <w:spacing w:val="4"/>
          <w:szCs w:val="21"/>
          <w14:textFill>
            <w14:solidFill>
              <w14:schemeClr w14:val="tx1"/>
            </w14:solidFill>
          </w14:textFill>
        </w:rPr>
        <w:t>.1.1 战争、入侵；</w:t>
      </w:r>
    </w:p>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7"/>
          <w:szCs w:val="21"/>
          <w14:textFill>
            <w14:solidFill>
              <w14:schemeClr w14:val="tx1"/>
            </w14:solidFill>
          </w14:textFill>
        </w:rPr>
        <w:t>10.1.2 非甲方或乙方责任造成的爆炸、火灾；</w:t>
      </w:r>
    </w:p>
    <w:p>
      <w:pPr>
        <w:adjustRightInd w:val="0"/>
        <w:snapToGrid w:val="0"/>
        <w:spacing w:line="480" w:lineRule="exact"/>
        <w:ind w:firstLine="1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6"/>
          <w:szCs w:val="21"/>
          <w14:textFill>
            <w14:solidFill>
              <w14:schemeClr w14:val="tx1"/>
            </w14:solidFill>
          </w14:textFill>
        </w:rPr>
        <w:t>1</w:t>
      </w:r>
      <w:r>
        <w:rPr>
          <w:rFonts w:hint="eastAsia" w:ascii="宋体" w:hAnsi="宋体" w:cs="宋体"/>
          <w:color w:val="000000" w:themeColor="text1"/>
          <w:spacing w:val="9"/>
          <w:szCs w:val="21"/>
          <w14:textFill>
            <w14:solidFill>
              <w14:schemeClr w14:val="tx1"/>
            </w14:solidFill>
          </w14:textFill>
        </w:rPr>
        <w:t>0</w:t>
      </w:r>
      <w:r>
        <w:rPr>
          <w:rFonts w:hint="eastAsia" w:ascii="宋体" w:hAnsi="宋体" w:cs="宋体"/>
          <w:color w:val="000000" w:themeColor="text1"/>
          <w:spacing w:val="8"/>
          <w:szCs w:val="21"/>
          <w14:textFill>
            <w14:solidFill>
              <w14:schemeClr w14:val="tx1"/>
            </w14:solidFill>
          </w14:textFill>
        </w:rPr>
        <w:t>.1.3 暴乱、骚乱、十级以上的台风、24 小时以上的持续特大暴雨，且日降雨量达到</w:t>
      </w:r>
      <w:r>
        <w:rPr>
          <w:rFonts w:hint="eastAsia" w:ascii="宋体" w:hAnsi="宋体" w:cs="宋体"/>
          <w:color w:val="000000" w:themeColor="text1"/>
          <w:spacing w:val="14"/>
          <w:szCs w:val="21"/>
          <w14:textFill>
            <w14:solidFill>
              <w14:schemeClr w14:val="tx1"/>
            </w14:solidFill>
          </w14:textFill>
        </w:rPr>
        <w:t>25</w:t>
      </w:r>
      <w:r>
        <w:rPr>
          <w:rFonts w:hint="eastAsia" w:ascii="宋体" w:hAnsi="宋体" w:cs="宋体"/>
          <w:color w:val="000000" w:themeColor="text1"/>
          <w:spacing w:val="7"/>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MM</w:t>
      </w:r>
      <w:r>
        <w:rPr>
          <w:rFonts w:hint="eastAsia" w:ascii="宋体" w:hAnsi="宋体" w:cs="宋体"/>
          <w:color w:val="000000" w:themeColor="text1"/>
          <w:spacing w:val="7"/>
          <w:szCs w:val="21"/>
          <w14:textFill>
            <w14:solidFill>
              <w14:schemeClr w14:val="tx1"/>
            </w14:solidFill>
          </w14:textFill>
        </w:rPr>
        <w:t xml:space="preserve"> 以上。在合同执行过程中，如果发生上述特殊风险，乙方应继续尽最大努力实施和</w:t>
      </w:r>
      <w:r>
        <w:rPr>
          <w:rFonts w:hint="eastAsia" w:ascii="宋体" w:hAnsi="宋体" w:cs="宋体"/>
          <w:color w:val="000000" w:themeColor="text1"/>
          <w:spacing w:val="14"/>
          <w:szCs w:val="21"/>
          <w14:textFill>
            <w14:solidFill>
              <w14:schemeClr w14:val="tx1"/>
            </w14:solidFill>
          </w14:textFill>
        </w:rPr>
        <w:t>完成检</w:t>
      </w:r>
      <w:r>
        <w:rPr>
          <w:rFonts w:hint="eastAsia" w:ascii="宋体" w:hAnsi="宋体" w:cs="宋体"/>
          <w:color w:val="000000" w:themeColor="text1"/>
          <w:spacing w:val="7"/>
          <w:szCs w:val="21"/>
          <w14:textFill>
            <w14:solidFill>
              <w14:schemeClr w14:val="tx1"/>
            </w14:solidFill>
          </w14:textFill>
        </w:rPr>
        <w:t>测任务，除非此种特殊风险的发生对本合同有重大实质性影响而不可能继续履行合</w:t>
      </w:r>
      <w:r>
        <w:rPr>
          <w:rFonts w:hint="eastAsia" w:ascii="宋体" w:hAnsi="宋体" w:cs="宋体"/>
          <w:color w:val="000000" w:themeColor="text1"/>
          <w:spacing w:val="2"/>
          <w:szCs w:val="21"/>
          <w14:textFill>
            <w14:solidFill>
              <w14:schemeClr w14:val="tx1"/>
            </w14:solidFill>
          </w14:textFill>
        </w:rPr>
        <w:t>同，在这种情况下，甲方有权通知乙方终止合同。</w:t>
      </w:r>
      <w:r>
        <w:rPr>
          <w:rFonts w:hint="eastAsia" w:ascii="宋体" w:hAnsi="宋体" w:cs="宋体"/>
          <w:color w:val="000000" w:themeColor="text1"/>
          <w:spacing w:val="1"/>
          <w:szCs w:val="21"/>
          <w14:textFill>
            <w14:solidFill>
              <w14:schemeClr w14:val="tx1"/>
            </w14:solidFill>
          </w14:textFill>
        </w:rPr>
        <w:t>一经发出此项通知，除按本条规定和 9.2</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pacing w:val="14"/>
          <w:szCs w:val="21"/>
          <w14:textFill>
            <w14:solidFill>
              <w14:schemeClr w14:val="tx1"/>
            </w14:solidFill>
          </w14:textFill>
        </w:rPr>
        <w:t>条</w:t>
      </w:r>
      <w:r>
        <w:rPr>
          <w:rFonts w:hint="eastAsia" w:ascii="宋体" w:hAnsi="宋体" w:cs="宋体"/>
          <w:color w:val="000000" w:themeColor="text1"/>
          <w:spacing w:val="9"/>
          <w:szCs w:val="21"/>
          <w14:textFill>
            <w14:solidFill>
              <w14:schemeClr w14:val="tx1"/>
            </w14:solidFill>
          </w14:textFill>
        </w:rPr>
        <w:t>规定执行外，本合同即告终止，但不</w:t>
      </w:r>
      <w:r>
        <w:rPr>
          <w:rFonts w:hint="eastAsia" w:ascii="宋体" w:hAnsi="宋体" w:cs="宋体"/>
          <w:color w:val="000000" w:themeColor="text1"/>
          <w:spacing w:val="14"/>
          <w:szCs w:val="21"/>
          <w14:textFill>
            <w14:solidFill>
              <w14:schemeClr w14:val="tx1"/>
            </w14:solidFill>
          </w14:textFill>
        </w:rPr>
        <w:t>损</w:t>
      </w:r>
      <w:r>
        <w:rPr>
          <w:rFonts w:hint="eastAsia" w:ascii="宋体" w:hAnsi="宋体" w:cs="宋体"/>
          <w:color w:val="000000" w:themeColor="text1"/>
          <w:spacing w:val="9"/>
          <w:szCs w:val="21"/>
          <w14:textFill>
            <w14:solidFill>
              <w14:schemeClr w14:val="tx1"/>
            </w14:solidFill>
          </w14:textFill>
        </w:rPr>
        <w:t>害双方中任何一方对另一方在此以前发生的任何违约所应有的权利。</w:t>
      </w:r>
    </w:p>
    <w:p>
      <w:pPr>
        <w:adjustRightInd w:val="0"/>
        <w:snapToGrid w:val="0"/>
        <w:spacing w:line="480" w:lineRule="exact"/>
        <w:ind w:firstLine="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6"/>
          <w:szCs w:val="21"/>
          <w14:textFill>
            <w14:solidFill>
              <w14:schemeClr w14:val="tx1"/>
            </w14:solidFill>
          </w14:textFill>
        </w:rPr>
        <w:t>10.</w:t>
      </w:r>
      <w:r>
        <w:rPr>
          <w:rFonts w:hint="eastAsia" w:ascii="宋体" w:hAnsi="宋体" w:cs="宋体"/>
          <w:color w:val="000000" w:themeColor="text1"/>
          <w:spacing w:val="12"/>
          <w:szCs w:val="21"/>
          <w14:textFill>
            <w14:solidFill>
              <w14:schemeClr w14:val="tx1"/>
            </w14:solidFill>
          </w14:textFill>
        </w:rPr>
        <w:t>2</w:t>
      </w:r>
      <w:r>
        <w:rPr>
          <w:rFonts w:hint="eastAsia" w:ascii="宋体" w:hAnsi="宋体" w:cs="宋体"/>
          <w:color w:val="000000" w:themeColor="text1"/>
          <w:spacing w:val="8"/>
          <w:szCs w:val="21"/>
          <w14:textFill>
            <w14:solidFill>
              <w14:schemeClr w14:val="tx1"/>
            </w14:solidFill>
          </w14:textFill>
        </w:rPr>
        <w:t xml:space="preserve"> 不可抗力时费用的支付因出现特殊风险致使本检测合同不能履行或只能部分履行</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pacing w:val="11"/>
          <w:szCs w:val="21"/>
          <w14:textFill>
            <w14:solidFill>
              <w14:schemeClr w14:val="tx1"/>
            </w14:solidFill>
          </w14:textFill>
        </w:rPr>
        <w:t>时</w:t>
      </w:r>
      <w:r>
        <w:rPr>
          <w:rFonts w:hint="eastAsia" w:ascii="宋体" w:hAnsi="宋体" w:cs="宋体"/>
          <w:color w:val="000000" w:themeColor="text1"/>
          <w:spacing w:val="7"/>
          <w:szCs w:val="21"/>
          <w14:textFill>
            <w14:solidFill>
              <w14:schemeClr w14:val="tx1"/>
            </w14:solidFill>
          </w14:textFill>
        </w:rPr>
        <w:t>，甲方应向乙方支付终止之日前乙方已完成检测的全部费用(该费用根据实际情况，双</w:t>
      </w:r>
      <w:r>
        <w:rPr>
          <w:rFonts w:hint="eastAsia" w:ascii="宋体" w:hAnsi="宋体" w:cs="宋体"/>
          <w:color w:val="000000" w:themeColor="text1"/>
          <w:spacing w:val="16"/>
          <w:szCs w:val="21"/>
          <w14:textFill>
            <w14:solidFill>
              <w14:schemeClr w14:val="tx1"/>
            </w14:solidFill>
          </w14:textFill>
        </w:rPr>
        <w:t>方协商</w:t>
      </w:r>
      <w:r>
        <w:rPr>
          <w:rFonts w:hint="eastAsia" w:ascii="宋体" w:hAnsi="宋体" w:cs="宋体"/>
          <w:color w:val="000000" w:themeColor="text1"/>
          <w:spacing w:val="10"/>
          <w:szCs w:val="21"/>
          <w14:textFill>
            <w14:solidFill>
              <w14:schemeClr w14:val="tx1"/>
            </w14:solidFill>
          </w14:textFill>
        </w:rPr>
        <w:t>确</w:t>
      </w:r>
      <w:r>
        <w:rPr>
          <w:rFonts w:hint="eastAsia" w:ascii="宋体" w:hAnsi="宋体" w:cs="宋体"/>
          <w:color w:val="000000" w:themeColor="text1"/>
          <w:spacing w:val="8"/>
          <w:szCs w:val="21"/>
          <w14:textFill>
            <w14:solidFill>
              <w14:schemeClr w14:val="tx1"/>
            </w14:solidFill>
          </w14:textFill>
        </w:rPr>
        <w:t>定) ，但对由此而产生的任何损失、损害或延误，双方各负其责。</w:t>
      </w:r>
    </w:p>
    <w:p>
      <w:pPr>
        <w:adjustRightInd w:val="0"/>
        <w:snapToGrid w:val="0"/>
        <w:spacing w:line="480" w:lineRule="exact"/>
        <w:ind w:firstLine="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3"/>
          <w:szCs w:val="21"/>
          <w14:textFill>
            <w14:solidFill>
              <w14:schemeClr w14:val="tx1"/>
            </w14:solidFill>
          </w14:textFill>
        </w:rPr>
        <w:t>第</w:t>
      </w:r>
      <w:r>
        <w:rPr>
          <w:rFonts w:hint="eastAsia" w:ascii="宋体" w:hAnsi="宋体" w:cs="宋体"/>
          <w:color w:val="000000" w:themeColor="text1"/>
          <w:spacing w:val="7"/>
          <w:szCs w:val="21"/>
          <w14:textFill>
            <w14:solidFill>
              <w14:schemeClr w14:val="tx1"/>
            </w14:solidFill>
          </w14:textFill>
        </w:rPr>
        <w:t>十一条：本合同未尽事宜，</w:t>
      </w:r>
      <w:r>
        <w:rPr>
          <w:rFonts w:hint="eastAsia" w:ascii="宋体" w:hAnsi="宋体"/>
          <w:color w:val="000000" w:themeColor="text1"/>
          <w:szCs w:val="21"/>
          <w14:textFill>
            <w14:solidFill>
              <w14:schemeClr w14:val="tx1"/>
            </w14:solidFill>
          </w14:textFill>
        </w:rPr>
        <w:t>如需修改或补充合同内容，</w:t>
      </w:r>
      <w:r>
        <w:rPr>
          <w:rFonts w:hint="eastAsia" w:ascii="宋体" w:hAnsi="宋体" w:cs="宋体"/>
          <w:color w:val="000000" w:themeColor="text1"/>
          <w:spacing w:val="7"/>
          <w:szCs w:val="21"/>
          <w14:textFill>
            <w14:solidFill>
              <w14:schemeClr w14:val="tx1"/>
            </w14:solidFill>
          </w14:textFill>
        </w:rPr>
        <w:t>经甲方与乙方协商一致，签订补充协议，</w:t>
      </w:r>
      <w:r>
        <w:rPr>
          <w:rFonts w:hint="eastAsia" w:ascii="宋体" w:hAnsi="宋体"/>
          <w:color w:val="000000" w:themeColor="text1"/>
          <w:szCs w:val="21"/>
          <w14:textFill>
            <w14:solidFill>
              <w14:schemeClr w14:val="tx1"/>
            </w14:solidFill>
          </w14:textFill>
        </w:rPr>
        <w:t>该协议将作为本合同的一个组成部分。</w:t>
      </w:r>
      <w:r>
        <w:rPr>
          <w:rFonts w:hint="eastAsia" w:ascii="宋体" w:hAnsi="宋体" w:cs="宋体"/>
          <w:color w:val="000000" w:themeColor="text1"/>
          <w:spacing w:val="7"/>
          <w:szCs w:val="21"/>
          <w14:textFill>
            <w14:solidFill>
              <w14:schemeClr w14:val="tx1"/>
            </w14:solidFill>
          </w14:textFill>
        </w:rPr>
        <w:t>补充协议与本合同</w:t>
      </w:r>
      <w:r>
        <w:rPr>
          <w:rFonts w:hint="eastAsia" w:ascii="宋体" w:hAnsi="宋体" w:cs="宋体"/>
          <w:color w:val="000000" w:themeColor="text1"/>
          <w:spacing w:val="6"/>
          <w:szCs w:val="21"/>
          <w14:textFill>
            <w14:solidFill>
              <w14:schemeClr w14:val="tx1"/>
            </w14:solidFill>
          </w14:textFill>
        </w:rPr>
        <w:t>具</w:t>
      </w:r>
      <w:r>
        <w:rPr>
          <w:rFonts w:hint="eastAsia" w:ascii="宋体" w:hAnsi="宋体" w:cs="宋体"/>
          <w:color w:val="000000" w:themeColor="text1"/>
          <w:spacing w:val="5"/>
          <w:szCs w:val="21"/>
          <w14:textFill>
            <w14:solidFill>
              <w14:schemeClr w14:val="tx1"/>
            </w14:solidFill>
          </w14:textFill>
        </w:rPr>
        <w:t>有同等</w:t>
      </w:r>
      <w:r>
        <w:rPr>
          <w:rFonts w:hint="eastAsia" w:ascii="宋体" w:hAnsi="宋体" w:cs="宋体"/>
          <w:color w:val="000000" w:themeColor="text1"/>
          <w:szCs w:val="21"/>
          <w14:textFill>
            <w14:solidFill>
              <w14:schemeClr w14:val="tx1"/>
            </w14:solidFill>
          </w14:textFill>
        </w:rPr>
        <w:t>效力。</w:t>
      </w:r>
    </w:p>
    <w:p>
      <w:pPr>
        <w:adjustRightInd w:val="0"/>
        <w:snapToGrid w:val="0"/>
        <w:spacing w:line="480" w:lineRule="exact"/>
        <w:ind w:firstLine="1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3"/>
          <w:szCs w:val="21"/>
          <w14:textFill>
            <w14:solidFill>
              <w14:schemeClr w14:val="tx1"/>
            </w14:solidFill>
          </w14:textFill>
        </w:rPr>
        <w:t>第</w:t>
      </w:r>
      <w:r>
        <w:rPr>
          <w:rFonts w:hint="eastAsia" w:ascii="宋体" w:hAnsi="宋体" w:cs="宋体"/>
          <w:color w:val="000000" w:themeColor="text1"/>
          <w:spacing w:val="7"/>
          <w:szCs w:val="21"/>
          <w14:textFill>
            <w14:solidFill>
              <w14:schemeClr w14:val="tx1"/>
            </w14:solidFill>
          </w14:textFill>
        </w:rPr>
        <w:t>十二条：乙方无权对检测服务项目进行转包、分包，否则甲方有权</w:t>
      </w:r>
      <w:r>
        <w:rPr>
          <w:rFonts w:hint="eastAsia" w:ascii="宋体" w:hAnsi="宋体" w:cs="宋体"/>
          <w:color w:val="000000" w:themeColor="text1"/>
          <w:spacing w:val="18"/>
          <w:szCs w:val="21"/>
          <w14:textFill>
            <w14:solidFill>
              <w14:schemeClr w14:val="tx1"/>
            </w14:solidFill>
          </w14:textFill>
        </w:rPr>
        <w:t>解</w:t>
      </w:r>
      <w:r>
        <w:rPr>
          <w:rFonts w:hint="eastAsia" w:ascii="宋体" w:hAnsi="宋体" w:cs="宋体"/>
          <w:color w:val="000000" w:themeColor="text1"/>
          <w:spacing w:val="10"/>
          <w:szCs w:val="21"/>
          <w14:textFill>
            <w14:solidFill>
              <w14:schemeClr w14:val="tx1"/>
            </w14:solidFill>
          </w14:textFill>
        </w:rPr>
        <w:t>除乙方服务合同，要求乙方撤离施工现场，并由乙方承担由此引起的一切经济损失。</w:t>
      </w:r>
      <w:r>
        <w:rPr>
          <w:rFonts w:hint="eastAsia" w:ascii="宋体" w:hAnsi="宋体" w:cs="宋体"/>
          <w:color w:val="000000" w:themeColor="text1"/>
          <w:szCs w:val="21"/>
          <w14:textFill>
            <w14:solidFill>
              <w14:schemeClr w14:val="tx1"/>
            </w14:solidFill>
          </w14:textFill>
        </w:rPr>
        <w:t xml:space="preserve"> </w:t>
      </w:r>
    </w:p>
    <w:p>
      <w:pPr>
        <w:adjustRightInd w:val="0"/>
        <w:snapToGrid w:val="0"/>
        <w:spacing w:line="480" w:lineRule="exact"/>
        <w:ind w:firstLine="11"/>
        <w:rPr>
          <w:rFonts w:ascii="宋体" w:hAnsi="宋体" w:cs="宋体"/>
          <w:color w:val="000000" w:themeColor="text1"/>
          <w:spacing w:val="5"/>
          <w:szCs w:val="21"/>
          <w14:textFill>
            <w14:solidFill>
              <w14:schemeClr w14:val="tx1"/>
            </w14:solidFill>
          </w14:textFill>
        </w:rPr>
      </w:pPr>
      <w:r>
        <w:rPr>
          <w:rFonts w:hint="eastAsia" w:ascii="宋体" w:hAnsi="宋体" w:cs="宋体"/>
          <w:color w:val="000000" w:themeColor="text1"/>
          <w:spacing w:val="12"/>
          <w:szCs w:val="21"/>
          <w14:textFill>
            <w14:solidFill>
              <w14:schemeClr w14:val="tx1"/>
            </w14:solidFill>
          </w14:textFill>
        </w:rPr>
        <w:t>第十三</w:t>
      </w:r>
      <w:r>
        <w:rPr>
          <w:rFonts w:hint="eastAsia" w:ascii="宋体" w:hAnsi="宋体" w:cs="宋体"/>
          <w:color w:val="000000" w:themeColor="text1"/>
          <w:spacing w:val="7"/>
          <w:szCs w:val="21"/>
          <w14:textFill>
            <w14:solidFill>
              <w14:schemeClr w14:val="tx1"/>
            </w14:solidFill>
          </w14:textFill>
        </w:rPr>
        <w:t>条</w:t>
      </w:r>
      <w:r>
        <w:rPr>
          <w:rFonts w:hint="eastAsia" w:ascii="宋体" w:hAnsi="宋体" w:cs="宋体"/>
          <w:color w:val="000000" w:themeColor="text1"/>
          <w:spacing w:val="6"/>
          <w:szCs w:val="21"/>
          <w14:textFill>
            <w14:solidFill>
              <w14:schemeClr w14:val="tx1"/>
            </w14:solidFill>
          </w14:textFill>
        </w:rPr>
        <w:t>：在检测过程中甲方有权增减检测工作项目及变更内容。如因特殊原因变更、不可</w:t>
      </w:r>
      <w:r>
        <w:rPr>
          <w:rFonts w:hint="eastAsia" w:ascii="宋体" w:hAnsi="宋体" w:cs="宋体"/>
          <w:color w:val="000000" w:themeColor="text1"/>
          <w:spacing w:val="18"/>
          <w:szCs w:val="21"/>
          <w14:textFill>
            <w14:solidFill>
              <w14:schemeClr w14:val="tx1"/>
            </w14:solidFill>
          </w14:textFill>
        </w:rPr>
        <w:t>抗力</w:t>
      </w:r>
      <w:r>
        <w:rPr>
          <w:rFonts w:hint="eastAsia" w:ascii="宋体" w:hAnsi="宋体" w:cs="宋体"/>
          <w:color w:val="000000" w:themeColor="text1"/>
          <w:spacing w:val="13"/>
          <w:szCs w:val="21"/>
          <w14:textFill>
            <w14:solidFill>
              <w14:schemeClr w14:val="tx1"/>
            </w14:solidFill>
          </w14:textFill>
        </w:rPr>
        <w:t>影</w:t>
      </w:r>
      <w:r>
        <w:rPr>
          <w:rFonts w:hint="eastAsia" w:ascii="宋体" w:hAnsi="宋体" w:cs="宋体"/>
          <w:color w:val="000000" w:themeColor="text1"/>
          <w:spacing w:val="9"/>
          <w:szCs w:val="21"/>
          <w14:textFill>
            <w14:solidFill>
              <w14:schemeClr w14:val="tx1"/>
            </w14:solidFill>
          </w14:textFill>
        </w:rPr>
        <w:t>响而造成不能按时完成的，乙方须及时书面报告甲方有关原因并提交有关证明资</w:t>
      </w:r>
      <w:r>
        <w:rPr>
          <w:rFonts w:hint="eastAsia" w:ascii="宋体" w:hAnsi="宋体" w:cs="宋体"/>
          <w:color w:val="000000" w:themeColor="text1"/>
          <w:spacing w:val="5"/>
          <w:szCs w:val="21"/>
          <w14:textFill>
            <w14:solidFill>
              <w14:schemeClr w14:val="tx1"/>
            </w14:solidFill>
          </w14:textFill>
        </w:rPr>
        <w:t>料，由甲方书面批准同意顺延工期。</w:t>
      </w:r>
    </w:p>
    <w:p>
      <w:pPr>
        <w:pStyle w:val="40"/>
        <w:adjustRightInd w:val="0"/>
        <w:snapToGrid w:val="0"/>
        <w:spacing w:line="480" w:lineRule="exact"/>
        <w:rPr>
          <w:rFonts w:ascii="宋体" w:hAnsi="宋体" w:cs="宋体"/>
          <w:color w:val="000000" w:themeColor="text1"/>
          <w:spacing w:val="8"/>
          <w:sz w:val="21"/>
          <w:szCs w:val="21"/>
          <w14:textFill>
            <w14:solidFill>
              <w14:schemeClr w14:val="tx1"/>
            </w14:solidFill>
          </w14:textFill>
        </w:rPr>
      </w:pPr>
      <w:r>
        <w:rPr>
          <w:rFonts w:hint="eastAsia" w:ascii="宋体" w:hAnsi="宋体" w:cs="宋体"/>
          <w:color w:val="000000" w:themeColor="text1"/>
          <w:spacing w:val="16"/>
          <w:sz w:val="21"/>
          <w:szCs w:val="21"/>
          <w14:textFill>
            <w14:solidFill>
              <w14:schemeClr w14:val="tx1"/>
            </w14:solidFill>
          </w14:textFill>
        </w:rPr>
        <w:t>第</w:t>
      </w:r>
      <w:r>
        <w:rPr>
          <w:rFonts w:hint="eastAsia" w:ascii="宋体" w:hAnsi="宋体" w:cs="宋体"/>
          <w:color w:val="000000" w:themeColor="text1"/>
          <w:spacing w:val="9"/>
          <w:sz w:val="21"/>
          <w:szCs w:val="21"/>
          <w14:textFill>
            <w14:solidFill>
              <w14:schemeClr w14:val="tx1"/>
            </w14:solidFill>
          </w14:textFill>
        </w:rPr>
        <w:t>十</w:t>
      </w:r>
      <w:r>
        <w:rPr>
          <w:rFonts w:hint="eastAsia" w:ascii="宋体" w:hAnsi="宋体" w:cs="宋体"/>
          <w:color w:val="000000" w:themeColor="text1"/>
          <w:spacing w:val="8"/>
          <w:sz w:val="21"/>
          <w:szCs w:val="21"/>
          <w14:textFill>
            <w14:solidFill>
              <w14:schemeClr w14:val="tx1"/>
            </w14:solidFill>
          </w14:textFill>
        </w:rPr>
        <w:t>四条：乙方检测报告和成果文件完全符合强制性的国家技术质量规范和合同规定的质量、规格、性能和技术规范等的要求，同时经过行业监管部门审核通过。</w:t>
      </w: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第十五：合同生效和其它</w:t>
      </w: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15.1 合同内容的确定应以招标文件和投标文件为基础，不得违背其实质性内容。合同经双方签字、加盖公章后开始生效，按照中华人民共和国的法律进行解释。</w:t>
      </w: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 本合同一式5份，具有同等法律效力。甲方和乙方各执2份，招标代理执1份。</w:t>
      </w:r>
    </w:p>
    <w:p>
      <w:pPr>
        <w:pStyle w:val="40"/>
        <w:adjustRightInd w:val="0"/>
        <w:snapToGrid w:val="0"/>
        <w:spacing w:line="48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15.3 </w:t>
      </w:r>
      <w:r>
        <w:rPr>
          <w:color w:val="000000" w:themeColor="text1"/>
          <w:spacing w:val="-5"/>
          <w:w w:val="105"/>
          <w:sz w:val="21"/>
          <w:szCs w:val="21"/>
          <w14:textFill>
            <w14:solidFill>
              <w14:schemeClr w14:val="tx1"/>
            </w14:solidFill>
          </w14:textFill>
        </w:rPr>
        <w:t>双</w:t>
      </w:r>
      <w:r>
        <w:rPr>
          <w:color w:val="000000" w:themeColor="text1"/>
          <w:spacing w:val="-16"/>
          <w:w w:val="105"/>
          <w:sz w:val="21"/>
          <w:szCs w:val="21"/>
          <w14:textFill>
            <w14:solidFill>
              <w14:schemeClr w14:val="tx1"/>
            </w14:solidFill>
          </w14:textFill>
        </w:rPr>
        <w:t>方因履行本合同而发生的争议</w:t>
      </w:r>
      <w:r>
        <w:rPr>
          <w:rFonts w:hint="eastAsia"/>
          <w:color w:val="000000" w:themeColor="text1"/>
          <w:spacing w:val="-30"/>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双方应协商解决。协商不成则</w:t>
      </w:r>
      <w:r>
        <w:rPr>
          <w:rFonts w:hint="eastAsia" w:ascii="宋体" w:hAnsi="宋体" w:cs="宋体"/>
          <w:bCs/>
          <w:color w:val="000000" w:themeColor="text1"/>
          <w:sz w:val="21"/>
          <w:szCs w:val="21"/>
          <w14:textFill>
            <w14:solidFill>
              <w14:schemeClr w14:val="tx1"/>
            </w14:solidFill>
          </w14:textFill>
        </w:rPr>
        <w:t>可申请仲裁或向合同履行地法院起诉。</w:t>
      </w:r>
    </w:p>
    <w:tbl>
      <w:tblPr>
        <w:tblStyle w:val="108"/>
        <w:tblW w:w="8279"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395"/>
        <w:gridCol w:w="3884"/>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5" w:hRule="atLeast"/>
        </w:trPr>
        <w:tc>
          <w:tcPr>
            <w:tcW w:w="4395" w:type="dxa"/>
          </w:tcPr>
          <w:p>
            <w:pPr>
              <w:adjustRightInd w:val="0"/>
              <w:snapToGrid w:val="0"/>
              <w:spacing w:line="480" w:lineRule="exact"/>
              <w:rPr>
                <w:color w:val="000000" w:themeColor="text1"/>
                <w14:textFill>
                  <w14:solidFill>
                    <w14:schemeClr w14:val="tx1"/>
                  </w14:solidFill>
                </w14:textFill>
              </w:rPr>
            </w:pPr>
          </w:p>
        </w:tc>
        <w:tc>
          <w:tcPr>
            <w:tcW w:w="3884" w:type="dxa"/>
          </w:tcPr>
          <w:p>
            <w:pPr>
              <w:adjustRightInd w:val="0"/>
              <w:snapToGrid w:val="0"/>
              <w:spacing w:line="480" w:lineRule="exact"/>
              <w:rPr>
                <w:rFonts w:ascii="宋体" w:hAnsi="宋体" w:cs="宋体"/>
                <w:color w:val="000000" w:themeColor="text1"/>
                <w:szCs w:val="21"/>
                <w14:textFill>
                  <w14:solidFill>
                    <w14:schemeClr w14:val="tx1"/>
                  </w14:solidFill>
                </w14:textFill>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395"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 xml:space="preserve">甲方 (盖章) ：                 </w:t>
            </w:r>
          </w:p>
        </w:tc>
        <w:tc>
          <w:tcPr>
            <w:tcW w:w="3884"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乙方</w:t>
            </w:r>
            <w:r>
              <w:rPr>
                <w:rFonts w:hint="eastAsia" w:ascii="宋体" w:hAnsi="宋体" w:cs="宋体"/>
                <w:color w:val="000000" w:themeColor="text1"/>
                <w:spacing w:val="3"/>
                <w:szCs w:val="21"/>
                <w14:textFill>
                  <w14:solidFill>
                    <w14:schemeClr w14:val="tx1"/>
                  </w14:solidFill>
                </w14:textFill>
              </w:rPr>
              <w:t xml:space="preserve"> (盖章)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4395"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2"/>
                <w:szCs w:val="21"/>
                <w14:textFill>
                  <w14:solidFill>
                    <w14:schemeClr w14:val="tx1"/>
                  </w14:solidFill>
                </w14:textFill>
              </w:rPr>
              <w:t>法</w:t>
            </w:r>
            <w:r>
              <w:rPr>
                <w:rFonts w:hint="eastAsia" w:ascii="宋体" w:hAnsi="宋体" w:cs="宋体"/>
                <w:color w:val="000000" w:themeColor="text1"/>
                <w:spacing w:val="8"/>
                <w:szCs w:val="21"/>
                <w14:textFill>
                  <w14:solidFill>
                    <w14:schemeClr w14:val="tx1"/>
                  </w14:solidFill>
                </w14:textFill>
              </w:rPr>
              <w:t>定</w:t>
            </w:r>
            <w:r>
              <w:rPr>
                <w:rFonts w:hint="eastAsia" w:ascii="宋体" w:hAnsi="宋体" w:cs="宋体"/>
                <w:color w:val="000000" w:themeColor="text1"/>
                <w:spacing w:val="6"/>
                <w:szCs w:val="21"/>
                <w14:textFill>
                  <w14:solidFill>
                    <w14:schemeClr w14:val="tx1"/>
                  </w14:solidFill>
                </w14:textFill>
              </w:rPr>
              <w:t>代表人 (企业负责人)</w:t>
            </w:r>
          </w:p>
        </w:tc>
        <w:tc>
          <w:tcPr>
            <w:tcW w:w="3884"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2"/>
                <w:szCs w:val="21"/>
                <w14:textFill>
                  <w14:solidFill>
                    <w14:schemeClr w14:val="tx1"/>
                  </w14:solidFill>
                </w14:textFill>
              </w:rPr>
              <w:t>法</w:t>
            </w:r>
            <w:r>
              <w:rPr>
                <w:rFonts w:hint="eastAsia" w:ascii="宋体" w:hAnsi="宋体" w:cs="宋体"/>
                <w:color w:val="000000" w:themeColor="text1"/>
                <w:spacing w:val="8"/>
                <w:szCs w:val="21"/>
                <w14:textFill>
                  <w14:solidFill>
                    <w14:schemeClr w14:val="tx1"/>
                  </w14:solidFill>
                </w14:textFill>
              </w:rPr>
              <w:t>定</w:t>
            </w:r>
            <w:r>
              <w:rPr>
                <w:rFonts w:hint="eastAsia" w:ascii="宋体" w:hAnsi="宋体" w:cs="宋体"/>
                <w:color w:val="000000" w:themeColor="text1"/>
                <w:spacing w:val="6"/>
                <w:szCs w:val="21"/>
                <w14:textFill>
                  <w14:solidFill>
                    <w14:schemeClr w14:val="tx1"/>
                  </w14:solidFill>
                </w14:textFill>
              </w:rPr>
              <w:t>代表人 (企业负责人)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395"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14:textFill>
                  <w14:solidFill>
                    <w14:schemeClr w14:val="tx1"/>
                  </w14:solidFill>
                </w14:textFill>
              </w:rPr>
              <w:t>或</w:t>
            </w:r>
            <w:r>
              <w:rPr>
                <w:rFonts w:hint="eastAsia" w:ascii="宋体" w:hAnsi="宋体" w:cs="宋体"/>
                <w:color w:val="000000" w:themeColor="text1"/>
                <w:spacing w:val="6"/>
                <w:szCs w:val="21"/>
                <w14:textFill>
                  <w14:solidFill>
                    <w14:schemeClr w14:val="tx1"/>
                  </w14:solidFill>
                </w14:textFill>
              </w:rPr>
              <w:t>授权代理人 (签字) ：</w:t>
            </w:r>
          </w:p>
        </w:tc>
        <w:tc>
          <w:tcPr>
            <w:tcW w:w="3884"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14:textFill>
                  <w14:solidFill>
                    <w14:schemeClr w14:val="tx1"/>
                  </w14:solidFill>
                </w14:textFill>
              </w:rPr>
              <w:t>或</w:t>
            </w:r>
            <w:r>
              <w:rPr>
                <w:rFonts w:hint="eastAsia" w:ascii="宋体" w:hAnsi="宋体" w:cs="宋体"/>
                <w:color w:val="000000" w:themeColor="text1"/>
                <w:spacing w:val="6"/>
                <w:szCs w:val="21"/>
                <w14:textFill>
                  <w14:solidFill>
                    <w14:schemeClr w14:val="tx1"/>
                  </w14:solidFill>
                </w14:textFill>
              </w:rPr>
              <w:t>授权代理人 (签字)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5" w:hRule="atLeast"/>
        </w:trPr>
        <w:tc>
          <w:tcPr>
            <w:tcW w:w="4395"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szCs w:val="21"/>
                <w14:textFill>
                  <w14:solidFill>
                    <w14:schemeClr w14:val="tx1"/>
                  </w14:solidFill>
                </w14:textFill>
              </w:rPr>
              <w:t>地址：</w:t>
            </w:r>
          </w:p>
        </w:tc>
        <w:tc>
          <w:tcPr>
            <w:tcW w:w="3884"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szCs w:val="21"/>
                <w14:textFill>
                  <w14:solidFill>
                    <w14:schemeClr w14:val="tx1"/>
                  </w14:solidFill>
                </w14:textFill>
              </w:rPr>
              <w:t>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395"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14:textFill>
                  <w14:solidFill>
                    <w14:schemeClr w14:val="tx1"/>
                  </w14:solidFill>
                </w14:textFill>
              </w:rPr>
              <w:t>电</w:t>
            </w:r>
            <w:r>
              <w:rPr>
                <w:rFonts w:hint="eastAsia" w:ascii="宋体" w:hAnsi="宋体" w:cs="宋体"/>
                <w:color w:val="000000" w:themeColor="text1"/>
                <w:spacing w:val="-7"/>
                <w:szCs w:val="21"/>
                <w14:textFill>
                  <w14:solidFill>
                    <w14:schemeClr w14:val="tx1"/>
                  </w14:solidFill>
                </w14:textFill>
              </w:rPr>
              <w:t>话：</w:t>
            </w:r>
          </w:p>
        </w:tc>
        <w:tc>
          <w:tcPr>
            <w:tcW w:w="3884"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14:textFill>
                  <w14:solidFill>
                    <w14:schemeClr w14:val="tx1"/>
                  </w14:solidFill>
                </w14:textFill>
              </w:rPr>
              <w:t>电</w:t>
            </w:r>
            <w:r>
              <w:rPr>
                <w:rFonts w:hint="eastAsia" w:ascii="宋体" w:hAnsi="宋体" w:cs="宋体"/>
                <w:color w:val="000000" w:themeColor="text1"/>
                <w:spacing w:val="-7"/>
                <w:szCs w:val="21"/>
                <w14:textFill>
                  <w14:solidFill>
                    <w14:schemeClr w14:val="tx1"/>
                  </w14:solidFill>
                </w14:textFill>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4395"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szCs w:val="21"/>
                <w14:textFill>
                  <w14:solidFill>
                    <w14:schemeClr w14:val="tx1"/>
                  </w14:solidFill>
                </w14:textFill>
              </w:rPr>
              <w:t>传</w:t>
            </w:r>
            <w:r>
              <w:rPr>
                <w:rFonts w:hint="eastAsia" w:ascii="宋体" w:hAnsi="宋体" w:cs="宋体"/>
                <w:color w:val="000000" w:themeColor="text1"/>
                <w:szCs w:val="21"/>
                <w14:textFill>
                  <w14:solidFill>
                    <w14:schemeClr w14:val="tx1"/>
                  </w14:solidFill>
                </w14:textFill>
              </w:rPr>
              <w:t>真：</w:t>
            </w:r>
          </w:p>
        </w:tc>
        <w:tc>
          <w:tcPr>
            <w:tcW w:w="3884"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szCs w:val="21"/>
                <w14:textFill>
                  <w14:solidFill>
                    <w14:schemeClr w14:val="tx1"/>
                  </w14:solidFill>
                </w14:textFill>
              </w:rPr>
              <w:t>传</w:t>
            </w:r>
            <w:r>
              <w:rPr>
                <w:rFonts w:hint="eastAsia" w:ascii="宋体" w:hAnsi="宋体" w:cs="宋体"/>
                <w:color w:val="000000" w:themeColor="text1"/>
                <w:szCs w:val="21"/>
                <w14:textFill>
                  <w14:solidFill>
                    <w14:schemeClr w14:val="tx1"/>
                  </w14:solidFill>
                </w14:textFill>
              </w:rPr>
              <w:t>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4395"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3"/>
                <w:szCs w:val="21"/>
                <w14:textFill>
                  <w14:solidFill>
                    <w14:schemeClr w14:val="tx1"/>
                  </w14:solidFill>
                </w14:textFill>
              </w:rPr>
              <w:t>日期：</w:t>
            </w:r>
            <w:r>
              <w:rPr>
                <w:rFonts w:hint="eastAsia" w:ascii="宋体" w:hAnsi="宋体" w:cs="宋体"/>
                <w:color w:val="000000" w:themeColor="text1"/>
                <w:spacing w:val="13"/>
                <w:szCs w:val="21"/>
                <w14:textFill>
                  <w14:solidFill>
                    <w14:schemeClr w14:val="tx1"/>
                  </w14:solidFill>
                </w14:textFill>
              </w:rPr>
              <w:t xml:space="preserve">    </w:t>
            </w:r>
            <w:r>
              <w:rPr>
                <w:rFonts w:hint="eastAsia" w:ascii="宋体" w:hAnsi="宋体" w:cs="宋体"/>
                <w:color w:val="000000" w:themeColor="text1"/>
                <w:spacing w:val="-13"/>
                <w:szCs w:val="21"/>
                <w14:textFill>
                  <w14:solidFill>
                    <w14:schemeClr w14:val="tx1"/>
                  </w14:solidFill>
                </w14:textFill>
              </w:rPr>
              <w:t>年</w:t>
            </w:r>
            <w:r>
              <w:rPr>
                <w:rFonts w:hint="eastAsia" w:ascii="宋体" w:hAnsi="宋体" w:cs="宋体"/>
                <w:color w:val="000000" w:themeColor="text1"/>
                <w:spacing w:val="10"/>
                <w:szCs w:val="21"/>
                <w14:textFill>
                  <w14:solidFill>
                    <w14:schemeClr w14:val="tx1"/>
                  </w14:solidFill>
                </w14:textFill>
              </w:rPr>
              <w:t xml:space="preserve">     </w:t>
            </w:r>
            <w:r>
              <w:rPr>
                <w:rFonts w:hint="eastAsia" w:ascii="宋体" w:hAnsi="宋体" w:cs="宋体"/>
                <w:color w:val="000000" w:themeColor="text1"/>
                <w:spacing w:val="-13"/>
                <w:szCs w:val="21"/>
                <w14:textFill>
                  <w14:solidFill>
                    <w14:schemeClr w14:val="tx1"/>
                  </w14:solidFill>
                </w14:textFill>
              </w:rPr>
              <w:t>月</w:t>
            </w:r>
            <w:r>
              <w:rPr>
                <w:rFonts w:hint="eastAsia" w:ascii="宋体" w:hAnsi="宋体" w:cs="宋体"/>
                <w:color w:val="000000" w:themeColor="text1"/>
                <w:spacing w:val="22"/>
                <w:szCs w:val="21"/>
                <w14:textFill>
                  <w14:solidFill>
                    <w14:schemeClr w14:val="tx1"/>
                  </w14:solidFill>
                </w14:textFill>
              </w:rPr>
              <w:t xml:space="preserve">    </w:t>
            </w:r>
            <w:r>
              <w:rPr>
                <w:rFonts w:hint="eastAsia" w:ascii="宋体" w:hAnsi="宋体" w:cs="宋体"/>
                <w:color w:val="000000" w:themeColor="text1"/>
                <w:spacing w:val="-13"/>
                <w:szCs w:val="21"/>
                <w14:textFill>
                  <w14:solidFill>
                    <w14:schemeClr w14:val="tx1"/>
                  </w14:solidFill>
                </w14:textFill>
              </w:rPr>
              <w:t>日</w:t>
            </w:r>
          </w:p>
        </w:tc>
        <w:tc>
          <w:tcPr>
            <w:tcW w:w="3884"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日</w:t>
            </w:r>
            <w:r>
              <w:rPr>
                <w:rFonts w:hint="eastAsia" w:ascii="宋体" w:hAnsi="宋体" w:cs="宋体"/>
                <w:color w:val="000000" w:themeColor="text1"/>
                <w:spacing w:val="-3"/>
                <w:szCs w:val="21"/>
                <w14:textFill>
                  <w14:solidFill>
                    <w14:schemeClr w14:val="tx1"/>
                  </w14:solidFill>
                </w14:textFill>
              </w:rPr>
              <w:t>期</w:t>
            </w:r>
            <w:r>
              <w:rPr>
                <w:rFonts w:hint="eastAsia" w:ascii="宋体" w:hAnsi="宋体" w:cs="宋体"/>
                <w:color w:val="000000" w:themeColor="text1"/>
                <w:spacing w:val="-2"/>
                <w:szCs w:val="21"/>
                <w14:textFill>
                  <w14:solidFill>
                    <w14:schemeClr w14:val="tx1"/>
                  </w14:solidFill>
                </w14:textFill>
              </w:rPr>
              <w:t>：      年     月     日</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5" w:hRule="atLeast"/>
        </w:trPr>
        <w:tc>
          <w:tcPr>
            <w:tcW w:w="4395"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5"/>
                <w:szCs w:val="21"/>
                <w14:textFill>
                  <w14:solidFill>
                    <w14:schemeClr w14:val="tx1"/>
                  </w14:solidFill>
                </w14:textFill>
              </w:rPr>
              <w:t>收款专户如下</w:t>
            </w:r>
          </w:p>
        </w:tc>
        <w:tc>
          <w:tcPr>
            <w:tcW w:w="3884" w:type="dxa"/>
          </w:tcPr>
          <w:p>
            <w:pPr>
              <w:adjustRightInd w:val="0"/>
              <w:snapToGrid w:val="0"/>
              <w:spacing w:line="4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5"/>
                <w:szCs w:val="21"/>
                <w14:textFill>
                  <w14:solidFill>
                    <w14:schemeClr w14:val="tx1"/>
                  </w14:solidFill>
                </w14:textFill>
              </w:rPr>
              <w:t>收款专户如下</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2" w:hRule="atLeast"/>
        </w:trPr>
        <w:tc>
          <w:tcPr>
            <w:tcW w:w="4395" w:type="dxa"/>
          </w:tcPr>
          <w:p>
            <w:pPr>
              <w:adjustRightInd w:val="0"/>
              <w:snapToGrid w:val="0"/>
              <w:spacing w:line="480" w:lineRule="exact"/>
              <w:rPr>
                <w:rFonts w:ascii="宋体" w:hAnsi="宋体" w:cs="宋体"/>
                <w:color w:val="000000" w:themeColor="text1"/>
                <w:spacing w:val="5"/>
                <w:szCs w:val="21"/>
                <w14:textFill>
                  <w14:solidFill>
                    <w14:schemeClr w14:val="tx1"/>
                  </w14:solidFill>
                </w14:textFill>
              </w:rPr>
            </w:pPr>
            <w:r>
              <w:rPr>
                <w:rFonts w:hint="eastAsia" w:ascii="宋体" w:hAnsi="宋体" w:cs="宋体"/>
                <w:color w:val="000000" w:themeColor="text1"/>
                <w:spacing w:val="5"/>
                <w:szCs w:val="21"/>
                <w14:textFill>
                  <w14:solidFill>
                    <w14:schemeClr w14:val="tx1"/>
                  </w14:solidFill>
                </w14:textFill>
              </w:rPr>
              <w:t>开户名称;</w:t>
            </w:r>
            <w:r>
              <w:rPr>
                <w:rFonts w:hint="eastAsia" w:ascii="宋体" w:hAnsi="宋体" w:cs="宋体"/>
                <w:color w:val="000000" w:themeColor="text1"/>
                <w:spacing w:val="5"/>
                <w:szCs w:val="21"/>
                <w14:textFill>
                  <w14:solidFill>
                    <w14:schemeClr w14:val="tx1"/>
                  </w14:solidFill>
                </w14:textFill>
              </w:rPr>
              <w:br w:type="column"/>
            </w:r>
          </w:p>
        </w:tc>
        <w:tc>
          <w:tcPr>
            <w:tcW w:w="3884" w:type="dxa"/>
          </w:tcPr>
          <w:p>
            <w:pPr>
              <w:adjustRightInd w:val="0"/>
              <w:snapToGrid w:val="0"/>
              <w:spacing w:line="480" w:lineRule="exact"/>
              <w:rPr>
                <w:rFonts w:ascii="宋体" w:hAnsi="宋体" w:cs="宋体"/>
                <w:color w:val="000000" w:themeColor="text1"/>
                <w:spacing w:val="5"/>
                <w:szCs w:val="21"/>
                <w14:textFill>
                  <w14:solidFill>
                    <w14:schemeClr w14:val="tx1"/>
                  </w14:solidFill>
                </w14:textFill>
              </w:rPr>
            </w:pPr>
            <w:r>
              <w:rPr>
                <w:rFonts w:hint="eastAsia" w:ascii="宋体" w:hAnsi="宋体" w:cs="宋体"/>
                <w:color w:val="000000" w:themeColor="text1"/>
                <w:spacing w:val="5"/>
                <w:szCs w:val="21"/>
                <w14:textFill>
                  <w14:solidFill>
                    <w14:schemeClr w14:val="tx1"/>
                  </w14:solidFill>
                </w14:textFill>
              </w:rPr>
              <w:t>开户名称：</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5" w:hRule="atLeast"/>
        </w:trPr>
        <w:tc>
          <w:tcPr>
            <w:tcW w:w="4395" w:type="dxa"/>
          </w:tcPr>
          <w:p>
            <w:pPr>
              <w:adjustRightInd w:val="0"/>
              <w:snapToGrid w:val="0"/>
              <w:spacing w:line="480" w:lineRule="exact"/>
              <w:rPr>
                <w:rFonts w:ascii="宋体" w:hAnsi="宋体" w:cs="宋体"/>
                <w:color w:val="000000" w:themeColor="text1"/>
                <w:spacing w:val="5"/>
                <w:szCs w:val="21"/>
                <w14:textFill>
                  <w14:solidFill>
                    <w14:schemeClr w14:val="tx1"/>
                  </w14:solidFill>
                </w14:textFill>
              </w:rPr>
            </w:pPr>
            <w:r>
              <w:rPr>
                <w:rFonts w:hint="eastAsia" w:ascii="宋体" w:hAnsi="宋体" w:cs="宋体"/>
                <w:color w:val="000000" w:themeColor="text1"/>
                <w:spacing w:val="5"/>
                <w:szCs w:val="21"/>
                <w14:textFill>
                  <w14:solidFill>
                    <w14:schemeClr w14:val="tx1"/>
                  </w14:solidFill>
                </w14:textFill>
              </w:rPr>
              <w:t>银行帐号：</w:t>
            </w:r>
          </w:p>
        </w:tc>
        <w:tc>
          <w:tcPr>
            <w:tcW w:w="3884" w:type="dxa"/>
          </w:tcPr>
          <w:p>
            <w:pPr>
              <w:adjustRightInd w:val="0"/>
              <w:snapToGrid w:val="0"/>
              <w:spacing w:line="480" w:lineRule="exact"/>
              <w:rPr>
                <w:rFonts w:ascii="宋体" w:hAnsi="宋体" w:cs="宋体"/>
                <w:color w:val="000000" w:themeColor="text1"/>
                <w:spacing w:val="5"/>
                <w:szCs w:val="21"/>
                <w14:textFill>
                  <w14:solidFill>
                    <w14:schemeClr w14:val="tx1"/>
                  </w14:solidFill>
                </w14:textFill>
              </w:rPr>
            </w:pPr>
            <w:r>
              <w:rPr>
                <w:rFonts w:hint="eastAsia" w:ascii="宋体" w:hAnsi="宋体" w:cs="宋体"/>
                <w:color w:val="000000" w:themeColor="text1"/>
                <w:spacing w:val="5"/>
                <w:szCs w:val="21"/>
                <w14:textFill>
                  <w14:solidFill>
                    <w14:schemeClr w14:val="tx1"/>
                  </w14:solidFill>
                </w14:textFill>
              </w:rPr>
              <w:t>银行帐号：</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5" w:hRule="atLeast"/>
        </w:trPr>
        <w:tc>
          <w:tcPr>
            <w:tcW w:w="4395" w:type="dxa"/>
          </w:tcPr>
          <w:p>
            <w:pPr>
              <w:adjustRightInd w:val="0"/>
              <w:snapToGrid w:val="0"/>
              <w:spacing w:line="480" w:lineRule="exact"/>
              <w:rPr>
                <w:rFonts w:ascii="宋体" w:hAnsi="宋体" w:cs="宋体"/>
                <w:color w:val="000000" w:themeColor="text1"/>
                <w:spacing w:val="5"/>
                <w:szCs w:val="21"/>
                <w14:textFill>
                  <w14:solidFill>
                    <w14:schemeClr w14:val="tx1"/>
                  </w14:solidFill>
                </w14:textFill>
              </w:rPr>
            </w:pPr>
            <w:r>
              <w:rPr>
                <w:rFonts w:hint="eastAsia" w:ascii="宋体" w:hAnsi="宋体" w:cs="宋体"/>
                <w:color w:val="000000" w:themeColor="text1"/>
                <w:spacing w:val="5"/>
                <w:szCs w:val="21"/>
                <w14:textFill>
                  <w14:solidFill>
                    <w14:schemeClr w14:val="tx1"/>
                  </w14:solidFill>
                </w14:textFill>
              </w:rPr>
              <w:t>开 户 行：</w:t>
            </w:r>
          </w:p>
        </w:tc>
        <w:tc>
          <w:tcPr>
            <w:tcW w:w="3884" w:type="dxa"/>
          </w:tcPr>
          <w:p>
            <w:pPr>
              <w:adjustRightInd w:val="0"/>
              <w:snapToGrid w:val="0"/>
              <w:spacing w:line="480" w:lineRule="exact"/>
              <w:rPr>
                <w:rFonts w:ascii="宋体" w:hAnsi="宋体" w:cs="宋体"/>
                <w:color w:val="000000" w:themeColor="text1"/>
                <w:spacing w:val="5"/>
                <w:szCs w:val="21"/>
                <w:lang w:eastAsia="en-US"/>
                <w14:textFill>
                  <w14:solidFill>
                    <w14:schemeClr w14:val="tx1"/>
                  </w14:solidFill>
                </w14:textFill>
              </w:rPr>
            </w:pPr>
            <w:r>
              <w:rPr>
                <w:rFonts w:hint="eastAsia" w:ascii="宋体" w:hAnsi="宋体" w:cs="宋体"/>
                <w:color w:val="000000" w:themeColor="text1"/>
                <w:spacing w:val="5"/>
                <w:szCs w:val="21"/>
                <w14:textFill>
                  <w14:solidFill>
                    <w14:schemeClr w14:val="tx1"/>
                  </w14:solidFill>
                </w14:textFill>
              </w:rPr>
              <w:t>开 户 行：</w:t>
            </w:r>
          </w:p>
        </w:tc>
      </w:tr>
    </w:tbl>
    <w:p>
      <w:pPr>
        <w:adjustRightInd w:val="0"/>
        <w:snapToGrid w:val="0"/>
        <w:spacing w:line="480" w:lineRule="exact"/>
        <w:ind w:firstLine="424"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br w:type="page"/>
      </w:r>
    </w:p>
    <w:p>
      <w:pPr>
        <w:pStyle w:val="4"/>
        <w:numPr>
          <w:ilvl w:val="0"/>
          <w:numId w:val="1"/>
        </w:numPr>
        <w:rPr>
          <w:rFonts w:ascii="宋体" w:hAnsi="宋体" w:cs="宋体"/>
          <w:color w:val="000000" w:themeColor="text1"/>
          <w14:textFill>
            <w14:solidFill>
              <w14:schemeClr w14:val="tx1"/>
            </w14:solidFill>
          </w14:textFill>
        </w:rPr>
      </w:pPr>
      <w:bookmarkStart w:id="51" w:name="_Toc8891"/>
      <w:bookmarkStart w:id="52" w:name="_Toc24592"/>
      <w:bookmarkStart w:id="53" w:name="_Toc19000881"/>
      <w:r>
        <w:rPr>
          <w:rFonts w:hint="eastAsia" w:ascii="宋体" w:hAnsi="宋体" w:cs="宋体"/>
          <w:color w:val="000000" w:themeColor="text1"/>
          <w14:textFill>
            <w14:solidFill>
              <w14:schemeClr w14:val="tx1"/>
            </w14:solidFill>
          </w14:textFill>
        </w:rPr>
        <w:t>投标文件的组成</w:t>
      </w:r>
      <w:bookmarkEnd w:id="51"/>
      <w:bookmarkEnd w:id="52"/>
    </w:p>
    <w:p>
      <w:pPr>
        <w:adjustRightInd w:val="0"/>
        <w:snapToGrid w:val="0"/>
        <w:spacing w:line="400" w:lineRule="atLeast"/>
        <w:ind w:left="-89" w:leftChars="-42"/>
        <w:jc w:val="center"/>
        <w:rPr>
          <w:rFonts w:ascii="宋体" w:hAnsi="宋体" w:cs="宋体"/>
          <w:b/>
          <w:bCs/>
          <w:color w:val="000000" w:themeColor="text1"/>
          <w:sz w:val="32"/>
          <w14:textFill>
            <w14:solidFill>
              <w14:schemeClr w14:val="tx1"/>
            </w14:solidFill>
          </w14:textFill>
        </w:rPr>
      </w:pPr>
    </w:p>
    <w:p>
      <w:pPr>
        <w:adjustRightInd w:val="0"/>
        <w:snapToGrid w:val="0"/>
        <w:ind w:left="-89" w:leftChars="-42"/>
        <w:outlineLvl w:val="0"/>
        <w:rPr>
          <w:rFonts w:ascii="宋体" w:hAnsi="宋体" w:cs="宋体"/>
          <w:color w:val="000000" w:themeColor="text1"/>
          <w14:textFill>
            <w14:solidFill>
              <w14:schemeClr w14:val="tx1"/>
            </w14:solidFill>
          </w14:textFill>
        </w:rPr>
      </w:pPr>
    </w:p>
    <w:p>
      <w:pPr>
        <w:adjustRightInd w:val="0"/>
        <w:snapToGrid w:val="0"/>
        <w:spacing w:beforeLines="50" w:line="360" w:lineRule="auto"/>
        <w:ind w:firstLine="420"/>
        <w:rPr>
          <w:rFonts w:ascii="宋体" w:hAnsi="宋体" w:cs="宋体"/>
          <w:color w:val="000000" w:themeColor="text1"/>
          <w:szCs w:val="21"/>
          <w14:textFill>
            <w14:solidFill>
              <w14:schemeClr w14:val="tx1"/>
            </w14:solidFill>
          </w14:textFill>
        </w:rPr>
      </w:pPr>
      <w:bookmarkStart w:id="54" w:name="_Toc19476"/>
      <w:bookmarkStart w:id="55" w:name="_Toc23973"/>
      <w:bookmarkStart w:id="56" w:name="_Toc21553"/>
      <w:bookmarkStart w:id="57" w:name="_Toc25551"/>
      <w:r>
        <w:rPr>
          <w:rFonts w:hint="eastAsia" w:ascii="宋体" w:hAnsi="宋体" w:cs="宋体"/>
          <w:color w:val="000000" w:themeColor="text1"/>
          <w:szCs w:val="21"/>
          <w14:textFill>
            <w14:solidFill>
              <w14:schemeClr w14:val="tx1"/>
            </w14:solidFill>
          </w14:textFill>
        </w:rPr>
        <w:t>一、投标</w:t>
      </w:r>
      <w:bookmarkEnd w:id="54"/>
      <w:bookmarkEnd w:id="55"/>
      <w:r>
        <w:rPr>
          <w:rFonts w:hint="eastAsia" w:ascii="宋体" w:hAnsi="宋体" w:cs="宋体"/>
          <w:color w:val="000000" w:themeColor="text1"/>
          <w:szCs w:val="21"/>
          <w14:textFill>
            <w14:solidFill>
              <w14:schemeClr w14:val="tx1"/>
            </w14:solidFill>
          </w14:textFill>
        </w:rPr>
        <w:t>书</w:t>
      </w:r>
      <w:bookmarkEnd w:id="56"/>
      <w:bookmarkEnd w:id="57"/>
    </w:p>
    <w:p>
      <w:pPr>
        <w:adjustRightInd w:val="0"/>
        <w:snapToGrid w:val="0"/>
        <w:spacing w:beforeLines="50" w:line="360" w:lineRule="auto"/>
        <w:ind w:firstLine="420"/>
        <w:rPr>
          <w:rFonts w:ascii="宋体" w:hAnsi="宋体" w:cs="宋体"/>
          <w:color w:val="000000" w:themeColor="text1"/>
          <w:szCs w:val="21"/>
          <w14:textFill>
            <w14:solidFill>
              <w14:schemeClr w14:val="tx1"/>
            </w14:solidFill>
          </w14:textFill>
        </w:rPr>
      </w:pPr>
      <w:bookmarkStart w:id="58" w:name="_Toc22311"/>
      <w:bookmarkStart w:id="59" w:name="_Toc28399"/>
      <w:bookmarkStart w:id="60" w:name="_Toc20898"/>
      <w:bookmarkStart w:id="61" w:name="_Toc6468"/>
      <w:r>
        <w:rPr>
          <w:rFonts w:hint="eastAsia" w:ascii="宋体" w:hAnsi="宋体" w:cs="宋体"/>
          <w:color w:val="000000" w:themeColor="text1"/>
          <w:szCs w:val="21"/>
          <w14:textFill>
            <w14:solidFill>
              <w14:schemeClr w14:val="tx1"/>
            </w14:solidFill>
          </w14:textFill>
        </w:rPr>
        <w:t>二、开标一览表</w:t>
      </w:r>
      <w:bookmarkEnd w:id="58"/>
      <w:bookmarkEnd w:id="59"/>
      <w:bookmarkEnd w:id="60"/>
      <w:bookmarkEnd w:id="61"/>
    </w:p>
    <w:p>
      <w:pPr>
        <w:adjustRightInd w:val="0"/>
        <w:snapToGrid w:val="0"/>
        <w:spacing w:beforeLines="50" w:line="360" w:lineRule="auto"/>
        <w:ind w:firstLine="420"/>
        <w:rPr>
          <w:rFonts w:ascii="宋体" w:hAnsi="宋体" w:cs="宋体"/>
          <w:color w:val="000000" w:themeColor="text1"/>
          <w:szCs w:val="21"/>
          <w14:textFill>
            <w14:solidFill>
              <w14:schemeClr w14:val="tx1"/>
            </w14:solidFill>
          </w14:textFill>
        </w:rPr>
      </w:pPr>
      <w:bookmarkStart w:id="62" w:name="_Toc5589"/>
      <w:bookmarkStart w:id="63" w:name="_Toc21943"/>
      <w:r>
        <w:rPr>
          <w:rFonts w:hint="eastAsia" w:ascii="宋体" w:hAnsi="宋体" w:cs="宋体"/>
          <w:color w:val="000000" w:themeColor="text1"/>
          <w:szCs w:val="21"/>
          <w14:textFill>
            <w14:solidFill>
              <w14:schemeClr w14:val="tx1"/>
            </w14:solidFill>
          </w14:textFill>
        </w:rPr>
        <w:t>三、开标一览明细表</w:t>
      </w:r>
      <w:bookmarkEnd w:id="62"/>
      <w:bookmarkEnd w:id="63"/>
    </w:p>
    <w:p>
      <w:pPr>
        <w:adjustRightInd w:val="0"/>
        <w:snapToGrid w:val="0"/>
        <w:spacing w:beforeLines="50" w:line="360" w:lineRule="auto"/>
        <w:ind w:firstLine="420"/>
        <w:rPr>
          <w:rFonts w:ascii="宋体" w:hAnsi="宋体" w:cs="宋体"/>
          <w:color w:val="000000" w:themeColor="text1"/>
          <w:szCs w:val="21"/>
          <w14:textFill>
            <w14:solidFill>
              <w14:schemeClr w14:val="tx1"/>
            </w14:solidFill>
          </w14:textFill>
        </w:rPr>
      </w:pPr>
      <w:bookmarkStart w:id="64" w:name="_Toc23131"/>
      <w:bookmarkStart w:id="65" w:name="_Toc23555"/>
      <w:bookmarkStart w:id="66" w:name="_Toc17309"/>
      <w:bookmarkStart w:id="67" w:name="_Toc12624"/>
      <w:r>
        <w:rPr>
          <w:rFonts w:hint="eastAsia" w:ascii="宋体" w:hAnsi="宋体" w:cs="宋体"/>
          <w:color w:val="000000" w:themeColor="text1"/>
          <w:szCs w:val="21"/>
          <w14:textFill>
            <w14:solidFill>
              <w14:schemeClr w14:val="tx1"/>
            </w14:solidFill>
          </w14:textFill>
        </w:rPr>
        <w:t>四、分项价格表</w:t>
      </w:r>
    </w:p>
    <w:bookmarkEnd w:id="64"/>
    <w:bookmarkEnd w:id="65"/>
    <w:bookmarkEnd w:id="66"/>
    <w:bookmarkEnd w:id="67"/>
    <w:p>
      <w:pPr>
        <w:adjustRightInd w:val="0"/>
        <w:snapToGrid w:val="0"/>
        <w:spacing w:beforeLines="50"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五、服务要求响应/偏离表</w:t>
      </w:r>
    </w:p>
    <w:p>
      <w:pPr>
        <w:adjustRightInd w:val="0"/>
        <w:snapToGrid w:val="0"/>
        <w:spacing w:beforeLines="50"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六、商务条款响应/偏离表</w:t>
      </w:r>
    </w:p>
    <w:p>
      <w:pPr>
        <w:adjustRightInd w:val="0"/>
        <w:snapToGrid w:val="0"/>
        <w:spacing w:beforeLines="50"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七、法人代表授权书</w:t>
      </w:r>
    </w:p>
    <w:p>
      <w:pPr>
        <w:adjustRightInd w:val="0"/>
        <w:snapToGrid w:val="0"/>
        <w:spacing w:beforeLines="50"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八、政府采购投标及履约承诺函</w:t>
      </w:r>
    </w:p>
    <w:p>
      <w:pPr>
        <w:adjustRightInd w:val="0"/>
        <w:snapToGrid w:val="0"/>
        <w:spacing w:beforeLines="50"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九、资格证明文件</w:t>
      </w:r>
    </w:p>
    <w:p>
      <w:pPr>
        <w:adjustRightInd w:val="0"/>
        <w:snapToGrid w:val="0"/>
        <w:spacing w:beforeLines="50"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十、服务方案</w:t>
      </w:r>
    </w:p>
    <w:p>
      <w:pPr>
        <w:adjustRightInd w:val="0"/>
        <w:snapToGrid w:val="0"/>
        <w:spacing w:beforeLines="50" w:line="360" w:lineRule="auto"/>
        <w:ind w:firstLine="424" w:firstLineChars="200"/>
        <w:rPr>
          <w:rFonts w:ascii="宋体" w:hAnsi="宋体" w:cs="宋体"/>
          <w:color w:val="000000" w:themeColor="text1"/>
          <w:szCs w:val="21"/>
          <w14:textFill>
            <w14:solidFill>
              <w14:schemeClr w14:val="tx1"/>
            </w14:solidFill>
          </w14:textFill>
        </w:rPr>
      </w:pPr>
    </w:p>
    <w:p>
      <w:pPr>
        <w:adjustRightInd w:val="0"/>
        <w:snapToGrid w:val="0"/>
        <w:spacing w:beforeLines="50"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 w:val="28"/>
          <w:szCs w:val="28"/>
          <w14:textFill>
            <w14:solidFill>
              <w14:schemeClr w14:val="tx1"/>
            </w14:solidFill>
          </w14:textFill>
        </w:rPr>
      </w:pPr>
    </w:p>
    <w:p>
      <w:pPr>
        <w:adjustRightInd w:val="0"/>
        <w:snapToGrid w:val="0"/>
        <w:spacing w:beforeLines="50" w:line="360" w:lineRule="auto"/>
        <w:rPr>
          <w:rFonts w:ascii="宋体" w:hAnsi="宋体" w:cs="宋体"/>
          <w:color w:val="000000" w:themeColor="text1"/>
          <w:szCs w:val="21"/>
          <w14:textFill>
            <w14:solidFill>
              <w14:schemeClr w14:val="tx1"/>
            </w14:solidFill>
          </w14:textFill>
        </w:rPr>
        <w:sectPr>
          <w:pgSz w:w="11906" w:h="16838"/>
          <w:pgMar w:top="1417" w:right="1417" w:bottom="1417" w:left="1417" w:header="851" w:footer="992" w:gutter="113"/>
          <w:cols w:space="720" w:num="1"/>
          <w:titlePg/>
          <w:docGrid w:type="linesAndChars" w:linePitch="326" w:charSpace="614"/>
        </w:sect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pStyle w:val="14"/>
        <w:adjustRightInd w:val="0"/>
        <w:snapToGrid w:val="0"/>
        <w:spacing w:line="400" w:lineRule="atLeast"/>
        <w:jc w:val="center"/>
        <w:rPr>
          <w:rFonts w:hAnsi="宋体" w:cs="宋体"/>
          <w:b/>
          <w:color w:val="000000" w:themeColor="text1"/>
          <w:sz w:val="84"/>
          <w:szCs w:val="84"/>
          <w14:textFill>
            <w14:solidFill>
              <w14:schemeClr w14:val="tx1"/>
            </w14:solidFill>
          </w14:textFill>
        </w:rPr>
      </w:pPr>
      <w:r>
        <w:rPr>
          <w:rFonts w:hint="eastAsia" w:hAnsi="宋体" w:cs="宋体"/>
          <w:b/>
          <w:color w:val="000000" w:themeColor="text1"/>
          <w:sz w:val="84"/>
          <w:szCs w:val="84"/>
          <w14:textFill>
            <w14:solidFill>
              <w14:schemeClr w14:val="tx1"/>
            </w14:solidFill>
          </w14:textFill>
        </w:rPr>
        <w:t>政 府 采 购</w:t>
      </w:r>
    </w:p>
    <w:p>
      <w:pPr>
        <w:adjustRightInd w:val="0"/>
        <w:snapToGrid w:val="0"/>
        <w:spacing w:line="400" w:lineRule="atLeast"/>
        <w:jc w:val="center"/>
        <w:rPr>
          <w:rFonts w:ascii="宋体" w:hAnsi="宋体" w:cs="宋体"/>
          <w:b/>
          <w:color w:val="000000" w:themeColor="text1"/>
          <w:sz w:val="84"/>
          <w:szCs w:val="84"/>
          <w14:textFill>
            <w14:solidFill>
              <w14:schemeClr w14:val="tx1"/>
            </w14:solidFill>
          </w14:textFill>
        </w:rPr>
      </w:pPr>
      <w:r>
        <w:rPr>
          <w:rFonts w:hint="eastAsia" w:ascii="宋体" w:hAnsi="宋体" w:cs="宋体"/>
          <w:b/>
          <w:color w:val="000000" w:themeColor="text1"/>
          <w:sz w:val="84"/>
          <w:szCs w:val="84"/>
          <w14:textFill>
            <w14:solidFill>
              <w14:schemeClr w14:val="tx1"/>
            </w14:solidFill>
          </w14:textFill>
        </w:rPr>
        <w:t>投标文件</w:t>
      </w: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30"/>
          <w:szCs w:val="30"/>
          <w14:textFill>
            <w14:solidFill>
              <w14:schemeClr w14:val="tx1"/>
            </w14:solidFill>
          </w14:textFill>
        </w:rPr>
      </w:pPr>
    </w:p>
    <w:p>
      <w:pPr>
        <w:spacing w:beforeLines="100" w:line="480" w:lineRule="auto"/>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项 目 名 称：___________________</w:t>
      </w:r>
    </w:p>
    <w:p>
      <w:pPr>
        <w:pStyle w:val="14"/>
        <w:spacing w:beforeLines="100" w:line="480" w:lineRule="auto"/>
        <w:ind w:firstLine="1127" w:firstLineChars="350"/>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 xml:space="preserve">   招 标 编 号：___________________</w:t>
      </w:r>
    </w:p>
    <w:p>
      <w:pPr>
        <w:spacing w:beforeLines="100" w:line="480" w:lineRule="auto"/>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采购单位名称：___________________</w:t>
      </w:r>
    </w:p>
    <w:p>
      <w:pPr>
        <w:adjustRightInd w:val="0"/>
        <w:snapToGrid w:val="0"/>
        <w:jc w:val="center"/>
        <w:outlineLvl w:val="0"/>
        <w:rPr>
          <w:rFonts w:ascii="宋体" w:hAnsi="宋体" w:cs="宋体"/>
          <w:b/>
          <w:color w:val="000000" w:themeColor="text1"/>
          <w:sz w:val="32"/>
          <w:szCs w:val="32"/>
          <w14:textFill>
            <w14:solidFill>
              <w14:schemeClr w14:val="tx1"/>
            </w14:solidFill>
          </w14:textFill>
        </w:rPr>
      </w:pPr>
    </w:p>
    <w:p>
      <w:pPr>
        <w:adjustRightInd w:val="0"/>
        <w:snapToGrid w:val="0"/>
        <w:ind w:firstLine="1610" w:firstLineChars="500"/>
        <w:rPr>
          <w:rFonts w:ascii="宋体" w:hAnsi="宋体" w:cs="宋体"/>
          <w:color w:val="000000" w:themeColor="text1"/>
          <w:sz w:val="30"/>
          <w:szCs w:val="30"/>
          <w14:textFill>
            <w14:solidFill>
              <w14:schemeClr w14:val="tx1"/>
            </w14:solidFill>
          </w14:textFill>
        </w:rPr>
      </w:pPr>
      <w:bookmarkStart w:id="68" w:name="_Toc19273"/>
      <w:bookmarkStart w:id="69" w:name="_Toc16328"/>
      <w:bookmarkStart w:id="70" w:name="_Toc27071"/>
      <w:bookmarkStart w:id="71" w:name="_Toc28690"/>
      <w:bookmarkStart w:id="72" w:name="_Toc21143"/>
      <w:r>
        <w:rPr>
          <w:rFonts w:hint="eastAsia" w:ascii="宋体" w:hAnsi="宋体" w:cs="宋体"/>
          <w:b/>
          <w:color w:val="000000" w:themeColor="text1"/>
          <w:sz w:val="32"/>
          <w:szCs w:val="32"/>
          <w14:textFill>
            <w14:solidFill>
              <w14:schemeClr w14:val="tx1"/>
            </w14:solidFill>
          </w14:textFill>
        </w:rPr>
        <w:t>采购代理名称：___________________</w:t>
      </w:r>
      <w:bookmarkEnd w:id="68"/>
      <w:bookmarkEnd w:id="69"/>
      <w:bookmarkEnd w:id="70"/>
      <w:bookmarkEnd w:id="71"/>
      <w:bookmarkEnd w:id="72"/>
    </w:p>
    <w:p>
      <w:pPr>
        <w:adjustRightInd w:val="0"/>
        <w:snapToGrid w:val="0"/>
        <w:ind w:firstLine="1510" w:firstLineChars="500"/>
        <w:jc w:val="center"/>
        <w:rPr>
          <w:rFonts w:ascii="宋体" w:hAnsi="宋体" w:cs="宋体"/>
          <w:color w:val="000000" w:themeColor="text1"/>
          <w:sz w:val="30"/>
          <w:szCs w:val="30"/>
          <w14:textFill>
            <w14:solidFill>
              <w14:schemeClr w14:val="tx1"/>
            </w14:solidFill>
          </w14:textFill>
        </w:rPr>
      </w:pPr>
    </w:p>
    <w:p>
      <w:pPr>
        <w:adjustRightInd w:val="0"/>
        <w:snapToGrid w:val="0"/>
        <w:ind w:firstLine="1510" w:firstLineChars="500"/>
        <w:rPr>
          <w:rFonts w:ascii="宋体" w:hAnsi="宋体" w:cs="宋体"/>
          <w:color w:val="000000" w:themeColor="text1"/>
          <w:sz w:val="30"/>
          <w:szCs w:val="30"/>
          <w14:textFill>
            <w14:solidFill>
              <w14:schemeClr w14:val="tx1"/>
            </w14:solidFill>
          </w14:textFill>
        </w:rPr>
      </w:pPr>
    </w:p>
    <w:p>
      <w:pPr>
        <w:adjustRightInd w:val="0"/>
        <w:snapToGrid w:val="0"/>
        <w:rPr>
          <w:rFonts w:ascii="宋体" w:hAnsi="宋体" w:cs="宋体"/>
          <w:color w:val="000000" w:themeColor="text1"/>
          <w:sz w:val="30"/>
          <w:szCs w:val="30"/>
          <w14:textFill>
            <w14:solidFill>
              <w14:schemeClr w14:val="tx1"/>
            </w14:solidFill>
          </w14:textFill>
        </w:rPr>
      </w:pPr>
    </w:p>
    <w:p>
      <w:pPr>
        <w:adjustRightInd w:val="0"/>
        <w:snapToGrid w:val="0"/>
        <w:ind w:firstLine="1127" w:firstLineChars="350"/>
        <w:rPr>
          <w:rFonts w:ascii="宋体" w:hAnsi="宋体" w:cs="宋体"/>
          <w:color w:val="000000" w:themeColor="text1"/>
          <w:sz w:val="32"/>
          <w:szCs w:val="32"/>
          <w14:textFill>
            <w14:solidFill>
              <w14:schemeClr w14:val="tx1"/>
            </w14:solidFill>
          </w14:textFill>
        </w:rPr>
      </w:pPr>
    </w:p>
    <w:p>
      <w:pPr>
        <w:adjustRightInd w:val="0"/>
        <w:snapToGrid w:val="0"/>
        <w:ind w:firstLine="1610" w:firstLineChars="500"/>
        <w:rPr>
          <w:rFonts w:ascii="宋体" w:hAnsi="宋体" w:cs="宋体"/>
          <w:b/>
          <w:bCs/>
          <w:color w:val="000000" w:themeColor="text1"/>
          <w:sz w:val="32"/>
          <w:szCs w:val="32"/>
          <w:u w:val="single"/>
          <w14:textFill>
            <w14:solidFill>
              <w14:schemeClr w14:val="tx1"/>
            </w14:solidFill>
          </w14:textFill>
        </w:rPr>
      </w:pPr>
      <w:bookmarkStart w:id="73" w:name="_Toc14755"/>
      <w:bookmarkStart w:id="74" w:name="_Toc9692"/>
      <w:bookmarkStart w:id="75" w:name="_Toc21858"/>
      <w:bookmarkStart w:id="76" w:name="_Toc21990"/>
      <w:bookmarkStart w:id="77" w:name="_Toc14608"/>
      <w:r>
        <w:rPr>
          <w:rFonts w:hint="eastAsia" w:ascii="宋体" w:hAnsi="宋体" w:cs="宋体"/>
          <w:b/>
          <w:bCs/>
          <w:color w:val="000000" w:themeColor="text1"/>
          <w:sz w:val="32"/>
          <w:szCs w:val="32"/>
          <w14:textFill>
            <w14:solidFill>
              <w14:schemeClr w14:val="tx1"/>
            </w14:solidFill>
          </w14:textFill>
        </w:rPr>
        <w:t>投标人：</w:t>
      </w:r>
      <w:bookmarkEnd w:id="73"/>
      <w:bookmarkEnd w:id="74"/>
      <w:bookmarkEnd w:id="75"/>
      <w:bookmarkEnd w:id="76"/>
      <w:bookmarkEnd w:id="77"/>
    </w:p>
    <w:p>
      <w:pPr>
        <w:adjustRightInd w:val="0"/>
        <w:snapToGrid w:val="0"/>
        <w:ind w:firstLine="4830" w:firstLineChars="1500"/>
        <w:rPr>
          <w:rFonts w:ascii="宋体" w:hAnsi="宋体" w:cs="宋体"/>
          <w:b/>
          <w:bCs/>
          <w:color w:val="000000" w:themeColor="text1"/>
          <w:sz w:val="32"/>
          <w:szCs w:val="32"/>
          <w14:textFill>
            <w14:solidFill>
              <w14:schemeClr w14:val="tx1"/>
            </w14:solidFill>
          </w14:textFill>
        </w:rPr>
      </w:pPr>
    </w:p>
    <w:p>
      <w:pPr>
        <w:adjustRightInd w:val="0"/>
        <w:snapToGrid w:val="0"/>
        <w:ind w:firstLine="4830" w:firstLineChars="1500"/>
        <w:rPr>
          <w:rFonts w:ascii="宋体" w:hAnsi="宋体" w:cs="宋体"/>
          <w:b/>
          <w:bCs/>
          <w:color w:val="000000" w:themeColor="text1"/>
          <w:sz w:val="32"/>
          <w:szCs w:val="32"/>
          <w14:textFill>
            <w14:solidFill>
              <w14:schemeClr w14:val="tx1"/>
            </w14:solidFill>
          </w14:textFill>
        </w:rPr>
      </w:pPr>
    </w:p>
    <w:p>
      <w:pPr>
        <w:adjustRightInd w:val="0"/>
        <w:snapToGrid w:val="0"/>
        <w:ind w:firstLine="4830" w:firstLineChars="1500"/>
        <w:rPr>
          <w:rFonts w:ascii="宋体" w:hAnsi="宋体" w:cs="宋体"/>
          <w:color w:val="000000" w:themeColor="text1"/>
          <w:sz w:val="32"/>
          <w:szCs w:val="32"/>
          <w14:textFill>
            <w14:solidFill>
              <w14:schemeClr w14:val="tx1"/>
            </w14:solidFill>
          </w14:textFill>
        </w:rPr>
      </w:pPr>
      <w:bookmarkStart w:id="78" w:name="_Toc19520"/>
      <w:bookmarkStart w:id="79" w:name="_Toc27501"/>
      <w:bookmarkStart w:id="80" w:name="_Toc17432"/>
      <w:bookmarkStart w:id="81" w:name="_Toc18899"/>
      <w:bookmarkStart w:id="82" w:name="_Toc124"/>
      <w:r>
        <w:rPr>
          <w:rFonts w:hint="eastAsia" w:ascii="宋体" w:hAnsi="宋体" w:cs="宋体"/>
          <w:b/>
          <w:bCs/>
          <w:color w:val="000000" w:themeColor="text1"/>
          <w:sz w:val="32"/>
          <w:szCs w:val="32"/>
          <w14:textFill>
            <w14:solidFill>
              <w14:schemeClr w14:val="tx1"/>
            </w14:solidFill>
          </w14:textFill>
        </w:rPr>
        <w:t>年 月 日</w:t>
      </w:r>
      <w:bookmarkEnd w:id="78"/>
      <w:bookmarkEnd w:id="79"/>
      <w:bookmarkEnd w:id="80"/>
      <w:bookmarkEnd w:id="81"/>
      <w:bookmarkEnd w:id="82"/>
    </w:p>
    <w:p>
      <w:pPr>
        <w:adjustRightInd w:val="0"/>
        <w:snapToGrid w:val="0"/>
        <w:ind w:firstLine="1610" w:firstLineChars="500"/>
        <w:outlineLvl w:val="0"/>
        <w:rPr>
          <w:rFonts w:ascii="宋体" w:hAnsi="宋体" w:cs="宋体"/>
          <w:color w:val="000000" w:themeColor="text1"/>
          <w:sz w:val="32"/>
          <w:szCs w:val="32"/>
          <w14:textFill>
            <w14:solidFill>
              <w14:schemeClr w14:val="tx1"/>
            </w14:solidFill>
          </w14:textFill>
        </w:rPr>
      </w:pPr>
    </w:p>
    <w:p>
      <w:pPr>
        <w:adjustRightInd w:val="0"/>
        <w:snapToGrid w:val="0"/>
        <w:spacing w:line="360" w:lineRule="auto"/>
        <w:jc w:val="center"/>
        <w:outlineLvl w:val="0"/>
        <w:rPr>
          <w:rFonts w:ascii="宋体" w:hAnsi="宋体" w:cs="宋体"/>
          <w:b/>
          <w:color w:val="000000" w:themeColor="text1"/>
          <w:sz w:val="28"/>
          <w:szCs w:val="28"/>
          <w14:textFill>
            <w14:solidFill>
              <w14:schemeClr w14:val="tx1"/>
            </w14:solidFill>
          </w14:textFill>
        </w:rPr>
      </w:pPr>
      <w:bookmarkStart w:id="83" w:name="_Toc8986"/>
      <w:bookmarkStart w:id="84" w:name="_Toc11640"/>
      <w:bookmarkStart w:id="85" w:name="_Toc2230"/>
      <w:bookmarkStart w:id="86" w:name="_Toc26617"/>
      <w:bookmarkStart w:id="87" w:name="_Toc17929"/>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一、投标</w:t>
      </w:r>
      <w:bookmarkEnd w:id="83"/>
      <w:bookmarkEnd w:id="84"/>
      <w:bookmarkEnd w:id="85"/>
      <w:r>
        <w:rPr>
          <w:rFonts w:hint="eastAsia" w:ascii="宋体" w:hAnsi="宋体" w:cs="宋体"/>
          <w:b/>
          <w:color w:val="000000" w:themeColor="text1"/>
          <w:sz w:val="28"/>
          <w:szCs w:val="28"/>
          <w14:textFill>
            <w14:solidFill>
              <w14:schemeClr w14:val="tx1"/>
            </w14:solidFill>
          </w14:textFill>
        </w:rPr>
        <w:t>书</w:t>
      </w:r>
      <w:bookmarkEnd w:id="86"/>
      <w:bookmarkEnd w:id="87"/>
    </w:p>
    <w:p>
      <w:pPr>
        <w:tabs>
          <w:tab w:val="left" w:pos="1440"/>
        </w:tabs>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ab/>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致：江西安必信招标咨询有限公司</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1、根据已收到贵方的项目编号为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的项目的招标文件，遵照《中华人民共和国政府采购法》和《中华人民共和国政府采购法实施条例》等有关规定，我单位经研究招标文件的各项要求后，我方愿以投标书中《开标一览表》中填写的投标报价并按招标文件要求承接上述项目并修补其任何缺陷。</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3、如我方中标，我方将按招标文件规定缴纳履约保证金。</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4、我方同意所递交的投标文件在投标有效期内有效，在此期间内我方将受此约束。</w:t>
      </w:r>
    </w:p>
    <w:p>
      <w:pPr>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5、除非另外达成协议并生效，贵方的招标文件、中标通知书和投标文件将构成约束我们双方的合同。</w:t>
      </w:r>
    </w:p>
    <w:p>
      <w:pPr>
        <w:spacing w:line="360" w:lineRule="auto"/>
        <w:ind w:firstLine="424" w:firstLineChars="200"/>
        <w:rPr>
          <w:rFonts w:ascii="宋体" w:hAnsi="宋体" w:cs="宋体"/>
          <w:color w:val="000000" w:themeColor="text1"/>
          <w:szCs w:val="21"/>
          <w14:textFill>
            <w14:solidFill>
              <w14:schemeClr w14:val="tx1"/>
            </w14:solidFill>
          </w14:textFill>
        </w:rPr>
      </w:pP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地址：邮编：</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电话：传真：</w:t>
      </w:r>
    </w:p>
    <w:p>
      <w:pPr>
        <w:pStyle w:val="14"/>
        <w:adjustRightInd w:val="0"/>
        <w:snapToGrid w:val="0"/>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投标人名称(盖章)：</w:t>
      </w:r>
    </w:p>
    <w:p>
      <w:pPr>
        <w:pStyle w:val="14"/>
        <w:adjustRightInd w:val="0"/>
        <w:snapToGrid w:val="0"/>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公司地址：</w:t>
      </w:r>
    </w:p>
    <w:p>
      <w:pPr>
        <w:adjustRightInd w:val="0"/>
        <w:snapToGrid w:val="0"/>
        <w:spacing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法定代表人或其授权的代理人(签字)：</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adjustRightInd w:val="0"/>
        <w:snapToGrid w:val="0"/>
        <w:spacing w:line="360" w:lineRule="auto"/>
        <w:rPr>
          <w:rFonts w:ascii="宋体" w:hAnsi="宋体" w:cs="宋体"/>
          <w:color w:val="000000" w:themeColor="text1"/>
          <w:sz w:val="28"/>
          <w:szCs w:val="28"/>
          <w14:textFill>
            <w14:solidFill>
              <w14:schemeClr w14:val="tx1"/>
            </w14:solidFill>
          </w14:textFill>
        </w:rPr>
      </w:pPr>
    </w:p>
    <w:p>
      <w:pPr>
        <w:adjustRightInd w:val="0"/>
        <w:snapToGrid w:val="0"/>
        <w:spacing w:line="360" w:lineRule="auto"/>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p>
    <w:p>
      <w:pPr>
        <w:adjustRightInd w:val="0"/>
        <w:snapToGrid w:val="0"/>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二、开标一览表</w:t>
      </w:r>
    </w:p>
    <w:p>
      <w:pPr>
        <w:adjustRightInd w:val="0"/>
        <w:snapToGrid w:val="0"/>
        <w:ind w:left="-89" w:leftChars="-42"/>
        <w:jc w:val="center"/>
        <w:rPr>
          <w:rFonts w:ascii="宋体" w:hAnsi="宋体" w:cs="宋体"/>
          <w:color w:val="000000" w:themeColor="text1"/>
          <w:sz w:val="24"/>
          <w14:textFill>
            <w14:solidFill>
              <w14:schemeClr w14:val="tx1"/>
            </w14:solidFill>
          </w14:textFill>
        </w:rPr>
      </w:pPr>
    </w:p>
    <w:p>
      <w:pPr>
        <w:adjustRightInd w:val="0"/>
        <w:snapToGrid w:val="0"/>
        <w:spacing w:line="480" w:lineRule="auto"/>
        <w:ind w:left="-89" w:leftChars="-4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项目编号：     </w:t>
      </w:r>
    </w:p>
    <w:p>
      <w:pPr>
        <w:adjustRightInd w:val="0"/>
        <w:snapToGrid w:val="0"/>
        <w:spacing w:line="480" w:lineRule="auto"/>
        <w:ind w:left="-89" w:leftChars="-4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5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vAlign w:val="center"/>
          </w:tcPr>
          <w:p>
            <w:pPr>
              <w:adjustRightInd w:val="0"/>
              <w:snapToGrid w:val="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标    题</w:t>
            </w:r>
          </w:p>
        </w:tc>
        <w:tc>
          <w:tcPr>
            <w:tcW w:w="5361" w:type="dxa"/>
            <w:vAlign w:val="center"/>
          </w:tcPr>
          <w:p>
            <w:pPr>
              <w:adjustRightInd w:val="0"/>
              <w:snapToGrid w:val="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投标报价（小写）</w:t>
            </w:r>
          </w:p>
        </w:tc>
        <w:tc>
          <w:tcPr>
            <w:tcW w:w="5361" w:type="dxa"/>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投标报价（大写）</w:t>
            </w:r>
          </w:p>
        </w:tc>
        <w:tc>
          <w:tcPr>
            <w:tcW w:w="5361" w:type="dxa"/>
            <w:vAlign w:val="center"/>
          </w:tcPr>
          <w:p>
            <w:pPr>
              <w:adjustRightInd w:val="0"/>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319" w:type="dxa"/>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交货期</w:t>
            </w:r>
          </w:p>
        </w:tc>
        <w:tc>
          <w:tcPr>
            <w:tcW w:w="5361" w:type="dxa"/>
            <w:vAlign w:val="center"/>
          </w:tcPr>
          <w:p>
            <w:pPr>
              <w:adjustRightInd w:val="0"/>
              <w:snapToGrid w:val="0"/>
              <w:jc w:val="center"/>
              <w:rPr>
                <w:rFonts w:ascii="宋体" w:hAnsi="宋体" w:cs="宋体"/>
                <w:color w:val="000000" w:themeColor="text1"/>
                <w:szCs w:val="21"/>
                <w14:textFill>
                  <w14:solidFill>
                    <w14:schemeClr w14:val="tx1"/>
                  </w14:solidFill>
                </w14:textFill>
              </w:rPr>
            </w:pPr>
          </w:p>
        </w:tc>
      </w:tr>
    </w:tbl>
    <w:p>
      <w:pPr>
        <w:adjustRightInd w:val="0"/>
        <w:snapToGrid w:val="0"/>
        <w:spacing w:line="480" w:lineRule="auto"/>
        <w:ind w:left="-89" w:leftChars="-42"/>
        <w:jc w:val="left"/>
        <w:rPr>
          <w:rFonts w:ascii="宋体" w:hAnsi="宋体" w:cs="宋体"/>
          <w:color w:val="000000" w:themeColor="text1"/>
          <w:szCs w:val="21"/>
          <w14:textFill>
            <w14:solidFill>
              <w14:schemeClr w14:val="tx1"/>
            </w14:solidFill>
          </w14:textFill>
        </w:rPr>
      </w:pPr>
    </w:p>
    <w:p>
      <w:pPr>
        <w:adjustRightInd w:val="0"/>
        <w:snapToGrid w:val="0"/>
        <w:spacing w:line="360" w:lineRule="auto"/>
        <w:ind w:left="-89" w:leftChars="-42"/>
        <w:rPr>
          <w:rFonts w:ascii="宋体" w:hAnsi="宋体" w:cs="宋体"/>
          <w:b/>
          <w:color w:val="000000" w:themeColor="text1"/>
          <w:szCs w:val="21"/>
          <w14:textFill>
            <w14:solidFill>
              <w14:schemeClr w14:val="tx1"/>
            </w14:solidFill>
          </w14:textFill>
        </w:rPr>
      </w:pPr>
    </w:p>
    <w:p>
      <w:pPr>
        <w:pStyle w:val="3"/>
        <w:rPr>
          <w:rFonts w:hAnsi="宋体"/>
          <w:color w:val="000000" w:themeColor="text1"/>
          <w14:textFill>
            <w14:solidFill>
              <w14:schemeClr w14:val="tx1"/>
            </w14:solidFill>
          </w14:textFill>
        </w:rPr>
      </w:pP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法定代表人或其授权的代理人(签字)：</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widowControl/>
        <w:ind w:left="-89" w:leftChars="-42"/>
        <w:jc w:val="left"/>
        <w:rPr>
          <w:rFonts w:ascii="宋体" w:hAnsi="宋体" w:cs="宋体"/>
          <w:b/>
          <w:color w:val="000000" w:themeColor="text1"/>
          <w14:textFill>
            <w14:solidFill>
              <w14:schemeClr w14:val="tx1"/>
            </w14:solidFill>
          </w14:textFill>
        </w:rPr>
        <w:sectPr>
          <w:pgSz w:w="11906" w:h="16838"/>
          <w:pgMar w:top="1417" w:right="1417" w:bottom="1417" w:left="1417" w:header="851" w:footer="992" w:gutter="113"/>
          <w:cols w:space="720" w:num="1"/>
          <w:titlePg/>
          <w:docGrid w:type="linesAndChars" w:linePitch="326" w:charSpace="614"/>
        </w:sectPr>
      </w:pPr>
    </w:p>
    <w:p>
      <w:pPr>
        <w:adjustRightInd w:val="0"/>
        <w:snapToGrid w:val="0"/>
        <w:spacing w:line="360" w:lineRule="auto"/>
        <w:jc w:val="center"/>
        <w:rPr>
          <w:rFonts w:ascii="宋体" w:hAnsi="宋体" w:cs="宋体"/>
          <w:b/>
          <w:bCs/>
          <w:color w:val="000000" w:themeColor="text1"/>
          <w:sz w:val="28"/>
          <w:szCs w:val="28"/>
          <w14:textFill>
            <w14:solidFill>
              <w14:schemeClr w14:val="tx1"/>
            </w14:solidFill>
          </w14:textFill>
        </w:rPr>
      </w:pPr>
      <w:bookmarkStart w:id="88" w:name="_Toc24156"/>
      <w:bookmarkStart w:id="89" w:name="_Toc2876"/>
      <w:bookmarkStart w:id="90" w:name="_Toc20286"/>
      <w:r>
        <w:rPr>
          <w:rFonts w:hint="eastAsia" w:ascii="宋体" w:hAnsi="宋体" w:cs="宋体"/>
          <w:b/>
          <w:bCs/>
          <w:color w:val="000000" w:themeColor="text1"/>
          <w:sz w:val="28"/>
          <w:szCs w:val="28"/>
          <w14:textFill>
            <w14:solidFill>
              <w14:schemeClr w14:val="tx1"/>
            </w14:solidFill>
          </w14:textFill>
        </w:rPr>
        <w:t>三、 开标一览明细表</w:t>
      </w:r>
    </w:p>
    <w:p>
      <w:pPr>
        <w:adjustRightInd w:val="0"/>
        <w:snapToGrid w:val="0"/>
        <w:ind w:left="-89" w:leftChars="-42"/>
        <w:jc w:val="center"/>
        <w:rPr>
          <w:rFonts w:ascii="宋体" w:hAnsi="宋体" w:cs="宋体"/>
          <w:b/>
          <w:color w:val="000000" w:themeColor="text1"/>
          <w:sz w:val="28"/>
          <w:szCs w:val="28"/>
          <w14:textFill>
            <w14:solidFill>
              <w14:schemeClr w14:val="tx1"/>
            </w14:solidFill>
          </w14:textFill>
        </w:rPr>
      </w:pPr>
    </w:p>
    <w:p>
      <w:pPr>
        <w:adjustRightInd w:val="0"/>
        <w:snapToGrid w:val="0"/>
        <w:ind w:left="-89" w:leftChars="-42"/>
        <w:rPr>
          <w:rFonts w:ascii="宋体"/>
          <w:color w:val="000000" w:themeColor="text1"/>
          <w:szCs w:val="21"/>
          <w14:textFill>
            <w14:solidFill>
              <w14:schemeClr w14:val="tx1"/>
            </w14:solidFill>
          </w14:textFill>
        </w:rPr>
      </w:pPr>
      <w:r>
        <w:rPr>
          <w:rFonts w:hint="eastAsia" w:ascii="宋体" w:hAnsi="宋体"/>
          <w:color w:val="000000" w:themeColor="text1"/>
          <w:spacing w:val="28"/>
          <w:szCs w:val="21"/>
          <w14:textFill>
            <w14:solidFill>
              <w14:schemeClr w14:val="tx1"/>
            </w14:solidFill>
          </w14:textFill>
        </w:rPr>
        <w:t>项目编号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金额单位</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人民币元</w:t>
      </w:r>
    </w:p>
    <w:p>
      <w:pPr>
        <w:adjustRightInd w:val="0"/>
        <w:snapToGrid w:val="0"/>
        <w:ind w:left="-89" w:leftChars="-42"/>
        <w:rPr>
          <w:rFonts w:ascii="宋体"/>
          <w:color w:val="000000" w:themeColor="text1"/>
          <w:szCs w:val="21"/>
          <w14:textFill>
            <w14:solidFill>
              <w14:schemeClr w14:val="tx1"/>
            </w14:solidFill>
          </w14:textFill>
        </w:rPr>
      </w:pPr>
    </w:p>
    <w:tbl>
      <w:tblPr>
        <w:tblStyle w:val="24"/>
        <w:tblW w:w="9071" w:type="dxa"/>
        <w:jc w:val="center"/>
        <w:tblLayout w:type="fixed"/>
        <w:tblCellMar>
          <w:top w:w="0" w:type="dxa"/>
          <w:left w:w="108" w:type="dxa"/>
          <w:bottom w:w="0" w:type="dxa"/>
          <w:right w:w="108" w:type="dxa"/>
        </w:tblCellMar>
      </w:tblPr>
      <w:tblGrid>
        <w:gridCol w:w="813"/>
        <w:gridCol w:w="3289"/>
        <w:gridCol w:w="884"/>
        <w:gridCol w:w="859"/>
        <w:gridCol w:w="808"/>
        <w:gridCol w:w="795"/>
        <w:gridCol w:w="1623"/>
      </w:tblGrid>
      <w:tr>
        <w:tblPrEx>
          <w:tblCellMar>
            <w:top w:w="0" w:type="dxa"/>
            <w:left w:w="108" w:type="dxa"/>
            <w:bottom w:w="0" w:type="dxa"/>
            <w:right w:w="108" w:type="dxa"/>
          </w:tblCellMar>
        </w:tblPrEx>
        <w:trPr>
          <w:trHeight w:val="107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序号</w:t>
            </w:r>
          </w:p>
        </w:tc>
        <w:tc>
          <w:tcPr>
            <w:tcW w:w="3289"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名称</w:t>
            </w: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单位</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数量</w:t>
            </w:r>
          </w:p>
        </w:tc>
        <w:tc>
          <w:tcPr>
            <w:tcW w:w="8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单价</w:t>
            </w: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金额</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000000" w:themeColor="text1"/>
                <w:szCs w:val="21"/>
                <w14:textFill>
                  <w14:solidFill>
                    <w14:schemeClr w14:val="tx1"/>
                  </w14:solidFill>
                </w14:textFill>
              </w:rPr>
            </w:pPr>
            <w:r>
              <w:rPr>
                <w:rFonts w:hint="eastAsia" w:hAnsi="宋体" w:cs="宋体"/>
                <w:bCs/>
                <w:color w:val="000000" w:themeColor="text1"/>
                <w:szCs w:val="21"/>
                <w14:textFill>
                  <w14:solidFill>
                    <w14:schemeClr w14:val="tx1"/>
                  </w14:solidFill>
                </w14:textFill>
              </w:rPr>
              <w:t>优惠政策</w:t>
            </w:r>
          </w:p>
        </w:tc>
      </w:tr>
      <w:tr>
        <w:tblPrEx>
          <w:tblCellMar>
            <w:top w:w="0" w:type="dxa"/>
            <w:left w:w="108" w:type="dxa"/>
            <w:bottom w:w="0" w:type="dxa"/>
            <w:right w:w="108" w:type="dxa"/>
          </w:tblCellMar>
        </w:tblPrEx>
        <w:trPr>
          <w:trHeight w:val="512"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w:t>
            </w:r>
          </w:p>
        </w:tc>
        <w:tc>
          <w:tcPr>
            <w:tcW w:w="32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000000" w:themeColor="text1"/>
                <w:szCs w:val="21"/>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12"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w:t>
            </w:r>
          </w:p>
        </w:tc>
        <w:tc>
          <w:tcPr>
            <w:tcW w:w="32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000000" w:themeColor="text1"/>
                <w:szCs w:val="21"/>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12"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3</w:t>
            </w:r>
          </w:p>
        </w:tc>
        <w:tc>
          <w:tcPr>
            <w:tcW w:w="32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000000" w:themeColor="text1"/>
                <w:szCs w:val="21"/>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512"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w:t>
            </w:r>
          </w:p>
        </w:tc>
        <w:tc>
          <w:tcPr>
            <w:tcW w:w="32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000000" w:themeColor="text1"/>
                <w:szCs w:val="21"/>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000000" w:themeColor="text1"/>
                <w:szCs w:val="21"/>
                <w14:textFill>
                  <w14:solidFill>
                    <w14:schemeClr w14:val="tx1"/>
                  </w14:solidFill>
                </w14:textFill>
              </w:rPr>
            </w:pPr>
          </w:p>
        </w:tc>
        <w:tc>
          <w:tcPr>
            <w:tcW w:w="162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921" w:hRule="atLeast"/>
          <w:jc w:val="center"/>
        </w:trPr>
        <w:tc>
          <w:tcPr>
            <w:tcW w:w="9071"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cs="宋体"/>
                <w:color w:val="000000" w:themeColor="text1"/>
                <w:szCs w:val="21"/>
                <w14:textFill>
                  <w14:solidFill>
                    <w14:schemeClr w14:val="tx1"/>
                  </w14:solidFill>
                </w14:textFill>
              </w:rPr>
            </w:pPr>
          </w:p>
          <w:p>
            <w:pPr>
              <w:snapToGrid w:val="0"/>
              <w:jc w:val="left"/>
              <w:rPr>
                <w:rFonts w:hAnsi="宋体"/>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总价:</w:t>
            </w:r>
            <w:r>
              <w:rPr>
                <w:rFonts w:hint="eastAsia" w:hAnsi="宋体" w:cs="宋体"/>
                <w:color w:val="000000" w:themeColor="text1"/>
                <w:szCs w:val="21"/>
                <w14:textFill>
                  <w14:solidFill>
                    <w14:schemeClr w14:val="tx1"/>
                  </w14:solidFill>
                </w14:textFill>
              </w:rPr>
              <w:t xml:space="preserve"> </w:t>
            </w:r>
            <w:r>
              <w:rPr>
                <w:rFonts w:hint="eastAsia" w:hAnsi="宋体"/>
                <w:b/>
                <w:color w:val="000000" w:themeColor="text1"/>
                <w:szCs w:val="21"/>
                <w14:textFill>
                  <w14:solidFill>
                    <w14:schemeClr w14:val="tx1"/>
                  </w14:solidFill>
                </w14:textFill>
              </w:rPr>
              <w:t>小写</w:t>
            </w:r>
            <w:r>
              <w:rPr>
                <w:rFonts w:hint="eastAsia" w:hAnsi="宋体"/>
                <w:bCs/>
                <w:color w:val="000000" w:themeColor="text1"/>
                <w:szCs w:val="21"/>
                <w14:textFill>
                  <w14:solidFill>
                    <w14:schemeClr w14:val="tx1"/>
                  </w14:solidFill>
                </w14:textFill>
              </w:rPr>
              <w:t xml:space="preserve">：         元；     </w:t>
            </w:r>
            <w:r>
              <w:rPr>
                <w:rFonts w:hint="eastAsia" w:hAnsi="宋体"/>
                <w:b/>
                <w:color w:val="000000" w:themeColor="text1"/>
                <w:szCs w:val="21"/>
                <w14:textFill>
                  <w14:solidFill>
                    <w14:schemeClr w14:val="tx1"/>
                  </w14:solidFill>
                </w14:textFill>
              </w:rPr>
              <w:t>大写</w:t>
            </w:r>
            <w:r>
              <w:rPr>
                <w:rFonts w:hint="eastAsia" w:hAnsi="宋体"/>
                <w:bCs/>
                <w:color w:val="000000" w:themeColor="text1"/>
                <w:szCs w:val="21"/>
                <w14:textFill>
                  <w14:solidFill>
                    <w14:schemeClr w14:val="tx1"/>
                  </w14:solidFill>
                </w14:textFill>
              </w:rPr>
              <w:t>：        元</w:t>
            </w:r>
          </w:p>
          <w:p>
            <w:pPr>
              <w:widowControl/>
              <w:jc w:val="center"/>
              <w:rPr>
                <w:rFonts w:hAnsi="宋体" w:cs="宋体"/>
                <w:color w:val="000000" w:themeColor="text1"/>
                <w:szCs w:val="21"/>
                <w14:textFill>
                  <w14:solidFill>
                    <w14:schemeClr w14:val="tx1"/>
                  </w14:solidFill>
                </w14:textFill>
              </w:rPr>
            </w:pPr>
          </w:p>
        </w:tc>
      </w:tr>
    </w:tbl>
    <w:p>
      <w:pPr>
        <w:adjustRightInd w:val="0"/>
        <w:snapToGrid w:val="0"/>
        <w:spacing w:line="440" w:lineRule="exact"/>
        <w:rPr>
          <w:rFonts w:ascii="??_GB2312" w:hAnsi="宋体" w:eastAsia="Times New Roman"/>
          <w:b/>
          <w:color w:val="000000" w:themeColor="text1"/>
          <w:szCs w:val="21"/>
          <w14:textFill>
            <w14:solidFill>
              <w14:schemeClr w14:val="tx1"/>
            </w14:solidFill>
          </w14:textFill>
        </w:rPr>
      </w:pPr>
      <w:r>
        <w:rPr>
          <w:rFonts w:ascii="??_GB2312" w:hAnsi="宋体" w:eastAsia="Times New Roman"/>
          <w:b/>
          <w:color w:val="000000" w:themeColor="text1"/>
          <w:szCs w:val="21"/>
          <w14:textFill>
            <w14:solidFill>
              <w14:schemeClr w14:val="tx1"/>
            </w14:solidFill>
          </w14:textFill>
        </w:rPr>
        <w:t>备注：</w:t>
      </w:r>
    </w:p>
    <w:p>
      <w:pPr>
        <w:adjustRightInd w:val="0"/>
        <w:snapToGrid w:val="0"/>
        <w:spacing w:line="440" w:lineRule="exact"/>
        <w:ind w:left="-89" w:leftChars="-42"/>
        <w:rPr>
          <w:rFonts w:ascii="??_GB2312" w:hAnsi="宋体" w:eastAsia="Times New Roman"/>
          <w:color w:val="000000" w:themeColor="text1"/>
          <w:szCs w:val="21"/>
          <w14:textFill>
            <w14:solidFill>
              <w14:schemeClr w14:val="tx1"/>
            </w14:solidFill>
          </w14:textFill>
        </w:rPr>
      </w:pPr>
      <w:r>
        <w:rPr>
          <w:rFonts w:ascii="??_GB2312" w:hAnsi="宋体" w:eastAsia="Times New Roman"/>
          <w:color w:val="000000" w:themeColor="text1"/>
          <w:szCs w:val="21"/>
          <w14:textFill>
            <w14:solidFill>
              <w14:schemeClr w14:val="tx1"/>
            </w14:solidFill>
          </w14:textFill>
        </w:rPr>
        <w:t>（</w:t>
      </w:r>
      <w:r>
        <w:rPr>
          <w:rFonts w:hint="eastAsia" w:ascii="??_GB2312" w:hAnsi="宋体"/>
          <w:color w:val="000000" w:themeColor="text1"/>
          <w:szCs w:val="21"/>
          <w14:textFill>
            <w14:solidFill>
              <w14:schemeClr w14:val="tx1"/>
            </w14:solidFill>
          </w14:textFill>
        </w:rPr>
        <w:t>1</w:t>
      </w:r>
      <w:r>
        <w:rPr>
          <w:rFonts w:ascii="??_GB2312" w:hAnsi="宋体" w:eastAsia="Times New Roman"/>
          <w:color w:val="000000" w:themeColor="text1"/>
          <w:szCs w:val="21"/>
          <w14:textFill>
            <w14:solidFill>
              <w14:schemeClr w14:val="tx1"/>
            </w14:solidFill>
          </w14:textFill>
        </w:rPr>
        <w:t>）如果单价与总价不符时，以单价为准，并修正总价。</w:t>
      </w:r>
    </w:p>
    <w:p>
      <w:pPr>
        <w:adjustRightInd w:val="0"/>
        <w:snapToGrid w:val="0"/>
        <w:spacing w:line="440" w:lineRule="exact"/>
        <w:ind w:left="-89" w:leftChars="-42"/>
        <w:rPr>
          <w:rFonts w:ascii="??_GB2312" w:hAnsi="宋体" w:eastAsia="Times New Roman"/>
          <w:color w:val="000000" w:themeColor="text1"/>
          <w:szCs w:val="21"/>
          <w14:textFill>
            <w14:solidFill>
              <w14:schemeClr w14:val="tx1"/>
            </w14:solidFill>
          </w14:textFill>
        </w:rPr>
      </w:pPr>
      <w:r>
        <w:rPr>
          <w:rFonts w:hint="eastAsia" w:ascii="??_GB2312" w:hAnsi="宋体" w:eastAsia="Times New Roman"/>
          <w:color w:val="000000" w:themeColor="text1"/>
          <w:szCs w:val="21"/>
          <w14:textFill>
            <w14:solidFill>
              <w14:schemeClr w14:val="tx1"/>
            </w14:solidFill>
          </w14:textFill>
        </w:rPr>
        <w:t>（</w:t>
      </w:r>
      <w:r>
        <w:rPr>
          <w:rFonts w:hint="eastAsia" w:ascii="??_GB2312" w:hAnsi="宋体"/>
          <w:color w:val="000000" w:themeColor="text1"/>
          <w:szCs w:val="21"/>
          <w14:textFill>
            <w14:solidFill>
              <w14:schemeClr w14:val="tx1"/>
            </w14:solidFill>
          </w14:textFill>
        </w:rPr>
        <w:t>2</w:t>
      </w:r>
      <w:r>
        <w:rPr>
          <w:rFonts w:hint="eastAsia" w:ascii="??_GB2312" w:hAnsi="宋体" w:eastAsia="Times New Roman"/>
          <w:color w:val="000000" w:themeColor="text1"/>
          <w:szCs w:val="21"/>
          <w14:textFill>
            <w14:solidFill>
              <w14:schemeClr w14:val="tx1"/>
            </w14:solidFill>
          </w14:textFill>
        </w:rPr>
        <w:t>）在“优惠政策”栏内填写可享受的优惠类别（中小微、节能环保、残疾人企业、监狱企业），如未注明，将有可能影响评审结果。</w:t>
      </w:r>
    </w:p>
    <w:p>
      <w:pPr>
        <w:pStyle w:val="4"/>
        <w:rPr>
          <w:color w:val="000000" w:themeColor="text1"/>
          <w14:textFill>
            <w14:solidFill>
              <w14:schemeClr w14:val="tx1"/>
            </w14:solidFill>
          </w14:textFill>
        </w:rPr>
      </w:pPr>
    </w:p>
    <w:p>
      <w:pPr>
        <w:adjustRightInd w:val="0"/>
        <w:snapToGrid w:val="0"/>
        <w:spacing w:before="50"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投标人名称（单位章）：</w:t>
      </w:r>
    </w:p>
    <w:p>
      <w:pPr>
        <w:adjustRightInd w:val="0"/>
        <w:snapToGrid w:val="0"/>
        <w:spacing w:before="50"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法定代表人或其授权的代理人</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签字</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adjustRightInd w:val="0"/>
        <w:snapToGrid w:val="0"/>
        <w:spacing w:before="50"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before="50" w:line="360" w:lineRule="auto"/>
        <w:rPr>
          <w:rFonts w:ascii="宋体" w:hAnsi="宋体" w:cs="宋体"/>
          <w:color w:val="000000" w:themeColor="text1"/>
          <w:szCs w:val="21"/>
          <w14:textFill>
            <w14:solidFill>
              <w14:schemeClr w14:val="tx1"/>
            </w14:solidFill>
          </w14:textFill>
        </w:rPr>
      </w:pPr>
    </w:p>
    <w:p>
      <w:pPr>
        <w:pStyle w:val="3"/>
        <w:rPr>
          <w:rFonts w:hAnsi="宋体"/>
          <w:color w:val="000000" w:themeColor="text1"/>
          <w:szCs w:val="21"/>
          <w14:textFill>
            <w14:solidFill>
              <w14:schemeClr w14:val="tx1"/>
            </w14:solidFill>
          </w14:textFill>
        </w:rPr>
      </w:pPr>
    </w:p>
    <w:p>
      <w:pPr>
        <w:pStyle w:val="3"/>
        <w:ind w:left="0"/>
        <w:jc w:val="center"/>
        <w:rPr>
          <w:rFonts w:hAnsi="宋体"/>
          <w:color w:val="000000" w:themeColor="text1"/>
          <w:kern w:val="2"/>
          <w:sz w:val="28"/>
          <w:szCs w:val="28"/>
          <w14:textFill>
            <w14:solidFill>
              <w14:schemeClr w14:val="tx1"/>
            </w14:solidFill>
          </w14:textFill>
        </w:rPr>
      </w:pPr>
      <w:r>
        <w:rPr>
          <w:rFonts w:hint="eastAsia" w:hAnsi="宋体"/>
          <w:color w:val="000000" w:themeColor="text1"/>
          <w:kern w:val="2"/>
          <w:sz w:val="28"/>
          <w:szCs w:val="28"/>
          <w14:textFill>
            <w14:solidFill>
              <w14:schemeClr w14:val="tx1"/>
            </w14:solidFill>
          </w14:textFill>
        </w:rPr>
        <w:br w:type="page"/>
      </w:r>
      <w:r>
        <w:rPr>
          <w:rFonts w:hint="eastAsia" w:hAnsi="宋体"/>
          <w:b/>
          <w:bCs/>
          <w:color w:val="000000" w:themeColor="text1"/>
          <w:kern w:val="2"/>
          <w:sz w:val="28"/>
          <w:szCs w:val="28"/>
          <w14:textFill>
            <w14:solidFill>
              <w14:schemeClr w14:val="tx1"/>
            </w14:solidFill>
          </w14:textFill>
        </w:rPr>
        <w:t>四、分项价格表</w:t>
      </w:r>
    </w:p>
    <w:p>
      <w:pPr>
        <w:pStyle w:val="3"/>
        <w:ind w:left="0"/>
        <w:jc w:val="center"/>
        <w:rPr>
          <w:rFonts w:hAnsi="宋体"/>
          <w:color w:val="000000" w:themeColor="text1"/>
          <w:kern w:val="2"/>
          <w14:textFill>
            <w14:solidFill>
              <w14:schemeClr w14:val="tx1"/>
            </w14:solidFill>
          </w14:textFill>
        </w:rPr>
      </w:pPr>
      <w:r>
        <w:rPr>
          <w:rFonts w:hint="eastAsia" w:hAnsi="宋体"/>
          <w:color w:val="000000" w:themeColor="text1"/>
          <w:kern w:val="2"/>
          <w14:textFill>
            <w14:solidFill>
              <w14:schemeClr w14:val="tx1"/>
            </w14:solidFill>
          </w14:textFill>
        </w:rPr>
        <w:t>　（在投标文件制作软件中输入）</w:t>
      </w:r>
    </w:p>
    <w:p>
      <w:pPr>
        <w:pStyle w:val="3"/>
        <w:ind w:left="0"/>
        <w:rPr>
          <w:rFonts w:hAnsi="宋体"/>
          <w:color w:val="000000" w:themeColor="text1"/>
          <w14:textFill>
            <w14:solidFill>
              <w14:schemeClr w14:val="tx1"/>
            </w14:solidFill>
          </w14:textFill>
        </w:rPr>
      </w:pPr>
      <w:bookmarkStart w:id="91" w:name="_Toc13951"/>
      <w:bookmarkStart w:id="92" w:name="_Toc30096"/>
      <w:bookmarkStart w:id="93" w:name="_Toc21717"/>
      <w:bookmarkStart w:id="94" w:name="_Toc27959"/>
      <w:bookmarkStart w:id="95" w:name="_Toc2173"/>
    </w:p>
    <w:p>
      <w:pPr>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pStyle w:val="3"/>
        <w:ind w:left="0"/>
        <w:jc w:val="center"/>
        <w:rPr>
          <w:rFonts w:hAnsi="宋体"/>
          <w:color w:val="000000" w:themeColor="text1"/>
          <w:spacing w:val="28"/>
          <w:szCs w:val="21"/>
          <w14:textFill>
            <w14:solidFill>
              <w14:schemeClr w14:val="tx1"/>
            </w14:solidFill>
          </w14:textFill>
        </w:rPr>
      </w:pPr>
      <w:r>
        <w:rPr>
          <w:rFonts w:hint="eastAsia" w:hAnsi="宋体"/>
          <w:b/>
          <w:bCs/>
          <w:color w:val="000000" w:themeColor="text1"/>
          <w:sz w:val="28"/>
          <w:szCs w:val="28"/>
          <w14:textFill>
            <w14:solidFill>
              <w14:schemeClr w14:val="tx1"/>
            </w14:solidFill>
          </w14:textFill>
        </w:rPr>
        <w:t>五、</w:t>
      </w:r>
      <w:bookmarkEnd w:id="91"/>
      <w:bookmarkEnd w:id="92"/>
      <w:bookmarkEnd w:id="93"/>
      <w:bookmarkEnd w:id="94"/>
      <w:bookmarkEnd w:id="95"/>
      <w:r>
        <w:rPr>
          <w:rFonts w:hint="eastAsia" w:hAnsi="宋体"/>
          <w:b/>
          <w:bCs/>
          <w:color w:val="000000" w:themeColor="text1"/>
          <w:sz w:val="28"/>
          <w:szCs w:val="28"/>
          <w14:textFill>
            <w14:solidFill>
              <w14:schemeClr w14:val="tx1"/>
            </w14:solidFill>
          </w14:textFill>
        </w:rPr>
        <w:t>服务要求响应/偏离表</w:t>
      </w:r>
    </w:p>
    <w:p>
      <w:pPr>
        <w:adjustRightInd w:val="0"/>
        <w:snapToGrid w:val="0"/>
        <w:ind w:left="-89" w:leftChars="-42" w:firstLine="212" w:firstLineChars="1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项目编号: </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8"/>
        <w:gridCol w:w="1602"/>
        <w:gridCol w:w="2356"/>
        <w:gridCol w:w="2146"/>
        <w:gridCol w:w="1212"/>
        <w:gridCol w:w="10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688"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60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服务名称</w:t>
            </w:r>
          </w:p>
        </w:tc>
        <w:tc>
          <w:tcPr>
            <w:tcW w:w="235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招标服务要求</w:t>
            </w:r>
          </w:p>
        </w:tc>
        <w:tc>
          <w:tcPr>
            <w:tcW w:w="214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投标服务要求</w:t>
            </w:r>
          </w:p>
        </w:tc>
        <w:tc>
          <w:tcPr>
            <w:tcW w:w="121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响应/偏离</w:t>
            </w:r>
          </w:p>
        </w:tc>
        <w:tc>
          <w:tcPr>
            <w:tcW w:w="1067"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688"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60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35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14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21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067"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688"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60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35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14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21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067"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688"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60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35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14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21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067"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688"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60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35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14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21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067"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688"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60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35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146"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21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067"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r>
    </w:tbl>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说明：1、“响应/偏离”的填写，优于或超过采购要求的填写“正偏离”，符合采购要求的填写“无偏离”，达不到或者不符合采购要求的填写“负偏离”；</w:t>
      </w:r>
    </w:p>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2、全部符合采购要求的填写“全部无偏离”。</w:t>
      </w:r>
    </w:p>
    <w:p>
      <w:pPr>
        <w:adjustRightInd w:val="0"/>
        <w:snapToGrid w:val="0"/>
        <w:spacing w:before="50" w:line="360" w:lineRule="auto"/>
        <w:rPr>
          <w:rFonts w:ascii="宋体" w:hAnsi="宋体" w:cs="宋体"/>
          <w:color w:val="000000" w:themeColor="text1"/>
          <w:szCs w:val="21"/>
          <w14:textFill>
            <w14:solidFill>
              <w14:schemeClr w14:val="tx1"/>
            </w14:solidFill>
          </w14:textFill>
        </w:rPr>
      </w:pPr>
    </w:p>
    <w:p>
      <w:pPr>
        <w:adjustRightInd w:val="0"/>
        <w:snapToGrid w:val="0"/>
        <w:spacing w:before="50" w:line="360" w:lineRule="auto"/>
        <w:rPr>
          <w:rFonts w:ascii="宋体" w:hAnsi="宋体" w:cs="宋体"/>
          <w:color w:val="000000" w:themeColor="text1"/>
          <w:szCs w:val="21"/>
          <w14:textFill>
            <w14:solidFill>
              <w14:schemeClr w14:val="tx1"/>
            </w14:solidFill>
          </w14:textFill>
        </w:rPr>
      </w:pPr>
    </w:p>
    <w:p>
      <w:pPr>
        <w:adjustRightInd w:val="0"/>
        <w:snapToGrid w:val="0"/>
        <w:spacing w:before="50" w:line="360" w:lineRule="auto"/>
        <w:rPr>
          <w:rFonts w:ascii="宋体" w:hAnsi="宋体" w:cs="宋体"/>
          <w:color w:val="000000" w:themeColor="text1"/>
          <w:szCs w:val="21"/>
          <w14:textFill>
            <w14:solidFill>
              <w14:schemeClr w14:val="tx1"/>
            </w14:solidFill>
          </w14:textFill>
        </w:rPr>
      </w:pPr>
    </w:p>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投标人名称（单位章）：</w:t>
      </w:r>
    </w:p>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法定代表人或其授权的代理人(签字)：</w:t>
      </w:r>
    </w:p>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pStyle w:val="7"/>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pStyle w:val="3"/>
        <w:rPr>
          <w:rFonts w:hAnsi="宋体"/>
          <w:color w:val="000000" w:themeColor="text1"/>
          <w14:textFill>
            <w14:solidFill>
              <w14:schemeClr w14:val="tx1"/>
            </w14:solidFill>
          </w14:textFill>
        </w:rPr>
      </w:pP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bookmarkStart w:id="96" w:name="_Toc16949"/>
      <w:bookmarkStart w:id="97" w:name="_Toc32218"/>
      <w:r>
        <w:rPr>
          <w:rFonts w:hint="eastAsia" w:ascii="宋体" w:hAnsi="宋体" w:cs="宋体"/>
          <w:b/>
          <w:bCs/>
          <w:color w:val="000000" w:themeColor="text1"/>
          <w:sz w:val="28"/>
          <w:szCs w:val="28"/>
          <w14:textFill>
            <w14:solidFill>
              <w14:schemeClr w14:val="tx1"/>
            </w14:solidFill>
          </w14:textFill>
        </w:rPr>
        <w:t>六、商务条款响应/偏离表</w:t>
      </w:r>
      <w:bookmarkEnd w:id="88"/>
      <w:bookmarkEnd w:id="89"/>
      <w:bookmarkEnd w:id="90"/>
      <w:bookmarkEnd w:id="96"/>
      <w:bookmarkEnd w:id="97"/>
    </w:p>
    <w:p>
      <w:pPr>
        <w:adjustRightInd w:val="0"/>
        <w:snapToGrid w:val="0"/>
        <w:ind w:left="-89" w:leftChars="-42"/>
        <w:jc w:val="left"/>
        <w:rPr>
          <w:rFonts w:ascii="宋体" w:hAnsi="宋体" w:cs="宋体"/>
          <w:b/>
          <w:color w:val="000000" w:themeColor="text1"/>
          <w:szCs w:val="21"/>
          <w14:textFill>
            <w14:solidFill>
              <w14:schemeClr w14:val="tx1"/>
            </w14:solidFill>
          </w14:textFill>
        </w:rPr>
      </w:pPr>
    </w:p>
    <w:p>
      <w:pPr>
        <w:adjustRightInd w:val="0"/>
        <w:snapToGrid w:val="0"/>
        <w:ind w:left="-89" w:leftChars="-42" w:firstLine="212"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项目编号: </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5"/>
        <w:gridCol w:w="2842"/>
        <w:gridCol w:w="2682"/>
        <w:gridCol w:w="1374"/>
        <w:gridCol w:w="13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84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招标商务要求</w:t>
            </w:r>
          </w:p>
        </w:tc>
        <w:tc>
          <w:tcPr>
            <w:tcW w:w="268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投标商务要求</w:t>
            </w:r>
          </w:p>
        </w:tc>
        <w:tc>
          <w:tcPr>
            <w:tcW w:w="137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响应/偏离</w:t>
            </w:r>
          </w:p>
        </w:tc>
        <w:tc>
          <w:tcPr>
            <w:tcW w:w="130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84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68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37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30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84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68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37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30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84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68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37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30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84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68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37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30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84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2682"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37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c>
          <w:tcPr>
            <w:tcW w:w="1304" w:type="dxa"/>
            <w:vAlign w:val="center"/>
          </w:tcPr>
          <w:p>
            <w:pPr>
              <w:adjustRightInd w:val="0"/>
              <w:snapToGrid w:val="0"/>
              <w:ind w:left="-89" w:leftChars="-42"/>
              <w:jc w:val="center"/>
              <w:rPr>
                <w:rFonts w:ascii="宋体" w:hAnsi="宋体" w:cs="宋体"/>
                <w:color w:val="000000" w:themeColor="text1"/>
                <w:szCs w:val="21"/>
                <w14:textFill>
                  <w14:solidFill>
                    <w14:schemeClr w14:val="tx1"/>
                  </w14:solidFill>
                </w14:textFill>
              </w:rPr>
            </w:pPr>
          </w:p>
        </w:tc>
      </w:tr>
    </w:tbl>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说明：1、“响应/偏离”的填写，优于或超过商务条款要求的填写“正偏离”，符合商务条款要求的填写“响应”，达不到或者不符合商务条款要求的填写“负偏离”；</w:t>
      </w:r>
    </w:p>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2、全部符合商务条款要求的填写“全部无偏离”。</w:t>
      </w:r>
    </w:p>
    <w:p>
      <w:pPr>
        <w:adjustRightInd w:val="0"/>
        <w:snapToGrid w:val="0"/>
        <w:ind w:left="-89" w:leftChars="-42"/>
        <w:rPr>
          <w:rFonts w:ascii="宋体" w:hAnsi="宋体" w:cs="宋体"/>
          <w:color w:val="000000" w:themeColor="text1"/>
          <w:szCs w:val="21"/>
          <w14:textFill>
            <w14:solidFill>
              <w14:schemeClr w14:val="tx1"/>
            </w14:solidFill>
          </w14:textFill>
        </w:rPr>
      </w:pPr>
    </w:p>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投标人名称（单位章）：</w:t>
      </w:r>
    </w:p>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法定代表人或其授权的代理人(签字)：</w:t>
      </w:r>
    </w:p>
    <w:p>
      <w:pPr>
        <w:adjustRightInd w:val="0"/>
        <w:snapToGrid w:val="0"/>
        <w:spacing w:before="50" w:line="360" w:lineRule="auto"/>
        <w:rPr>
          <w:rFonts w:ascii="宋体" w:hAnsi="宋体" w:cs="宋体"/>
          <w:color w:val="000000" w:themeColor="text1"/>
          <w:szCs w:val="21"/>
          <w14:textFill>
            <w14:solidFill>
              <w14:schemeClr w14:val="tx1"/>
            </w14:solidFill>
          </w14:textFill>
        </w:rPr>
        <w:sectPr>
          <w:pgSz w:w="11906" w:h="16838"/>
          <w:pgMar w:top="1417" w:right="1417" w:bottom="1417" w:left="1417" w:header="851" w:footer="992" w:gutter="113"/>
          <w:cols w:space="720" w:num="1"/>
          <w:titlePg/>
          <w:docGrid w:type="linesAndChars" w:linePitch="326" w:charSpace="614"/>
        </w:sectPr>
      </w:pPr>
      <w:r>
        <w:rPr>
          <w:rFonts w:hint="eastAsia" w:ascii="宋体" w:hAnsi="宋体" w:cs="宋体"/>
          <w:color w:val="000000" w:themeColor="text1"/>
          <w:szCs w:val="21"/>
          <w14:textFill>
            <w14:solidFill>
              <w14:schemeClr w14:val="tx1"/>
            </w14:solidFill>
          </w14:textFill>
        </w:rPr>
        <w:t>日期：  年  月  日</w:t>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bookmarkStart w:id="98" w:name="_Toc20959"/>
      <w:bookmarkStart w:id="99" w:name="_Toc29946"/>
      <w:r>
        <w:rPr>
          <w:rFonts w:hint="eastAsia" w:ascii="宋体" w:hAnsi="宋体" w:cs="宋体"/>
          <w:b/>
          <w:bCs/>
          <w:color w:val="000000" w:themeColor="text1"/>
          <w:sz w:val="28"/>
          <w:szCs w:val="28"/>
          <w14:textFill>
            <w14:solidFill>
              <w14:schemeClr w14:val="tx1"/>
            </w14:solidFill>
          </w14:textFill>
        </w:rPr>
        <w:t>七、 法人代表授权书</w:t>
      </w:r>
      <w:bookmarkEnd w:id="98"/>
      <w:bookmarkEnd w:id="99"/>
    </w:p>
    <w:p>
      <w:pPr>
        <w:adjustRightInd w:val="0"/>
        <w:snapToGrid w:val="0"/>
        <w:spacing w:line="360" w:lineRule="auto"/>
        <w:rPr>
          <w:rFonts w:ascii="宋体" w:hAnsi="宋体" w:cs="宋体"/>
          <w:bCs/>
          <w:color w:val="000000" w:themeColor="text1"/>
          <w:szCs w:val="21"/>
          <w14:textFill>
            <w14:solidFill>
              <w14:schemeClr w14:val="tx1"/>
            </w14:solidFill>
          </w14:textFill>
        </w:rPr>
      </w:pPr>
    </w:p>
    <w:p>
      <w:pPr>
        <w:autoSpaceDE w:val="0"/>
        <w:autoSpaceDN w:val="0"/>
        <w:adjustRightInd w:val="0"/>
        <w:snapToGrid w:val="0"/>
        <w:spacing w:beforeLines="50" w:line="360" w:lineRule="auto"/>
        <w:ind w:firstLine="424"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w:t>
      </w:r>
      <w:r>
        <w:rPr>
          <w:rFonts w:hint="eastAsia" w:ascii="宋体" w:hAnsi="宋体" w:cs="宋体"/>
          <w:color w:val="000000" w:themeColor="text1"/>
          <w:szCs w:val="21"/>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项目编号）投标文件、签订合同和处理有关事宜，其法律后果由我方承担。</w:t>
      </w:r>
    </w:p>
    <w:p>
      <w:pPr>
        <w:autoSpaceDE w:val="0"/>
        <w:autoSpaceDN w:val="0"/>
        <w:adjustRightInd w:val="0"/>
        <w:snapToGrid w:val="0"/>
        <w:spacing w:beforeLines="50" w:line="360" w:lineRule="auto"/>
        <w:ind w:firstLine="424"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w:t>
      </w:r>
    </w:p>
    <w:p>
      <w:pPr>
        <w:adjustRightInd w:val="0"/>
        <w:snapToGrid w:val="0"/>
        <w:spacing w:beforeLines="50"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pPr>
        <w:adjustRightInd w:val="0"/>
        <w:snapToGrid w:val="0"/>
        <w:spacing w:beforeLines="50" w:line="360" w:lineRule="auto"/>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本授权书于  年  月  日签字生效，特此声明。</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8528" w:type="dxa"/>
            <w:vAlign w:val="center"/>
          </w:tcPr>
          <w:p>
            <w:pPr>
              <w:adjustRightInd w:val="0"/>
              <w:snapToGrid w:val="0"/>
              <w:spacing w:beforeLines="5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法定代表人身份证扫描件（正反面）</w:t>
            </w:r>
          </w:p>
        </w:tc>
      </w:tr>
    </w:tbl>
    <w:p>
      <w:pPr>
        <w:adjustRightInd w:val="0"/>
        <w:snapToGrid w:val="0"/>
        <w:spacing w:beforeLines="50" w:line="360" w:lineRule="auto"/>
        <w:ind w:firstLine="424" w:firstLineChars="200"/>
        <w:rPr>
          <w:rFonts w:ascii="宋体" w:hAnsi="宋体" w:cs="宋体"/>
          <w:color w:val="000000" w:themeColor="text1"/>
          <w:szCs w:val="21"/>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8528" w:type="dxa"/>
            <w:vAlign w:val="center"/>
          </w:tcPr>
          <w:p>
            <w:pPr>
              <w:adjustRightInd w:val="0"/>
              <w:snapToGrid w:val="0"/>
              <w:spacing w:beforeLines="5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委托代理人身份证扫描件（正反面）</w:t>
            </w:r>
          </w:p>
        </w:tc>
      </w:tr>
    </w:tbl>
    <w:p>
      <w:pPr>
        <w:adjustRightInd w:val="0"/>
        <w:snapToGrid w:val="0"/>
        <w:spacing w:beforeLines="50" w:line="360" w:lineRule="auto"/>
        <w:ind w:firstLine="424" w:firstLineChars="200"/>
        <w:rPr>
          <w:rFonts w:ascii="宋体" w:hAnsi="宋体" w:cs="宋体"/>
          <w:color w:val="000000" w:themeColor="text1"/>
          <w:szCs w:val="21"/>
          <w14:textFill>
            <w14:solidFill>
              <w14:schemeClr w14:val="tx1"/>
            </w14:solidFill>
          </w14:textFill>
        </w:rPr>
      </w:pPr>
    </w:p>
    <w:p>
      <w:pPr>
        <w:adjustRightInd w:val="0"/>
        <w:snapToGrid w:val="0"/>
        <w:spacing w:beforeLines="50" w:line="360" w:lineRule="auto"/>
        <w:ind w:firstLine="424" w:firstLineChars="200"/>
        <w:rPr>
          <w:rFonts w:ascii="宋体" w:hAnsi="宋体" w:cs="宋体"/>
          <w:color w:val="000000" w:themeColor="text1"/>
          <w:szCs w:val="21"/>
          <w14:textFill>
            <w14:solidFill>
              <w14:schemeClr w14:val="tx1"/>
            </w14:solidFill>
          </w14:textFill>
        </w:rPr>
      </w:pPr>
    </w:p>
    <w:p>
      <w:pPr>
        <w:adjustRightInd w:val="0"/>
        <w:snapToGrid w:val="0"/>
        <w:spacing w:beforeLines="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投标人名称（单位章）：</w:t>
      </w:r>
    </w:p>
    <w:p>
      <w:pPr>
        <w:adjustRightInd w:val="0"/>
        <w:snapToGrid w:val="0"/>
        <w:spacing w:beforeLines="50"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w:t>
      </w:r>
    </w:p>
    <w:p>
      <w:pPr>
        <w:adjustRightInd w:val="0"/>
        <w:snapToGrid w:val="0"/>
        <w:spacing w:beforeLines="50"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委托代理人（签字）：</w:t>
      </w:r>
    </w:p>
    <w:p>
      <w:pPr>
        <w:adjustRightInd w:val="0"/>
        <w:snapToGrid w:val="0"/>
        <w:spacing w:beforeLines="50"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rPr>
          <w:rFonts w:ascii="宋体" w:hAnsi="宋体" w:cs="宋体"/>
          <w:color w:val="000000" w:themeColor="text1"/>
          <w:szCs w:val="21"/>
          <w14:textFill>
            <w14:solidFill>
              <w14:schemeClr w14:val="tx1"/>
            </w14:solidFill>
          </w14:textFill>
        </w:rPr>
      </w:pPr>
    </w:p>
    <w:p>
      <w:pPr>
        <w:adjustRightInd w:val="0"/>
        <w:snapToGrid w:val="0"/>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八、政府采购投标及履约承诺函</w:t>
      </w:r>
    </w:p>
    <w:p>
      <w:pPr>
        <w:spacing w:line="360" w:lineRule="auto"/>
        <w:rPr>
          <w:rFonts w:ascii="宋体" w:hAnsi="宋体" w:cs="宋体"/>
          <w:bCs/>
          <w:color w:val="000000" w:themeColor="text1"/>
          <w:kern w:val="0"/>
          <w:szCs w:val="21"/>
          <w14:textFill>
            <w14:solidFill>
              <w14:schemeClr w14:val="tx1"/>
            </w14:solidFill>
          </w14:textFill>
        </w:rPr>
      </w:pPr>
    </w:p>
    <w:p>
      <w:pPr>
        <w:spacing w:line="480" w:lineRule="exac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江西安必信招标咨询有限公司：</w:t>
      </w:r>
    </w:p>
    <w:p>
      <w:pPr>
        <w:spacing w:line="480" w:lineRule="exact"/>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我方承诺：</w:t>
      </w:r>
    </w:p>
    <w:p>
      <w:pPr>
        <w:spacing w:line="480" w:lineRule="exact"/>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1、我方具备《中华人民共和国政府采购法》第二十二条第一款规定的六项条件。</w:t>
      </w:r>
    </w:p>
    <w:p>
      <w:pPr>
        <w:spacing w:line="480" w:lineRule="exact"/>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2、我方参与本项目投标前三年内，在经营活动中没有重大违法记录。</w:t>
      </w:r>
    </w:p>
    <w:p>
      <w:pPr>
        <w:spacing w:line="480" w:lineRule="exact"/>
        <w:ind w:firstLine="424"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3、我方参与本项目</w:t>
      </w:r>
      <w:r>
        <w:rPr>
          <w:rFonts w:hint="eastAsia" w:ascii="宋体" w:hAnsi="宋体" w:cs="宋体"/>
          <w:color w:val="000000" w:themeColor="text1"/>
          <w14:textFill>
            <w14:solidFill>
              <w14:schemeClr w14:val="tx1"/>
            </w14:solidFill>
          </w14:textFill>
        </w:rPr>
        <w:t>政府采购活动时不存在被有关部门禁止参与政府采购活动且在有效期内的情况。</w:t>
      </w:r>
    </w:p>
    <w:p>
      <w:pPr>
        <w:spacing w:line="480" w:lineRule="exact"/>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4、我方在参加本项目活动前一段时间内具有良好的商业信誉和健全的财务会计制度、具有依法缴纳税收和社会保障资金的良好记录。</w:t>
      </w:r>
    </w:p>
    <w:p>
      <w:pPr>
        <w:spacing w:line="480" w:lineRule="exact"/>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5、我方</w:t>
      </w:r>
      <w:r>
        <w:rPr>
          <w:rFonts w:hint="eastAsia" w:ascii="宋体" w:hAnsi="宋体" w:cs="宋体"/>
          <w:color w:val="000000" w:themeColor="text1"/>
          <w14:textFill>
            <w14:solidFill>
              <w14:schemeClr w14:val="tx1"/>
            </w14:solidFill>
          </w14:textFill>
        </w:rPr>
        <w:t>未被列入失信被执行人、重大税收违法案件当事人名单、政府采购严重违法失信行为记录名单。</w:t>
      </w:r>
    </w:p>
    <w:p>
      <w:pPr>
        <w:spacing w:line="480" w:lineRule="exact"/>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我方参与该项目投标，严格遵守政府采购相关法律，投标做到诚实，不造假，不围标、串标、陪标。如违反上述要求，其投标将作无效处理，被列入不良记录名单并在网上曝光，同时将被提请政府采购监督管理部门给予一定年限内禁止参与政府采购活动或其他处罚。</w:t>
      </w:r>
    </w:p>
    <w:p>
      <w:pPr>
        <w:spacing w:line="480" w:lineRule="exact"/>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7、我方如果中标，做到守信，不偷工减料，依照本项目招标文件需求内容、签署的采购合同及本公司在投标中所作的一切承诺履约。项目验收达到全部指标合格，力争优良。</w:t>
      </w:r>
    </w:p>
    <w:p>
      <w:pPr>
        <w:spacing w:line="480" w:lineRule="exact"/>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若我方以“报价太低而无法履约”为理由放弃本项目中标资格时，愿意接受主管部门的处理、处罚。若我方的报价以明显低于其他投标人的报价而中标时，本项目将成为重点监管、重点验收项目，我方将按时保质、保量完成，并全力配合有关监管、验收工作；若我方未按上述要求履约，我方愿意接受主管部门的处理、处罚。</w:t>
      </w:r>
    </w:p>
    <w:p>
      <w:pPr>
        <w:spacing w:line="480" w:lineRule="exact"/>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9、我方承诺不非法转包、分包。</w:t>
      </w:r>
    </w:p>
    <w:p>
      <w:pPr>
        <w:spacing w:line="480" w:lineRule="exact"/>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以上承诺如有违反，愿依照国家相关法律处理，并承担由此给采购人带来的损失。</w:t>
      </w:r>
    </w:p>
    <w:p>
      <w:pPr>
        <w:adjustRightInd w:val="0"/>
        <w:snapToGrid w:val="0"/>
        <w:spacing w:before="50" w:line="360" w:lineRule="auto"/>
        <w:rPr>
          <w:rFonts w:ascii="宋体" w:hAnsi="宋体" w:cs="宋体"/>
          <w:color w:val="000000" w:themeColor="text1"/>
          <w:szCs w:val="21"/>
          <w14:textFill>
            <w14:solidFill>
              <w14:schemeClr w14:val="tx1"/>
            </w14:solidFill>
          </w14:textFill>
        </w:rPr>
      </w:pPr>
    </w:p>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投标人名称（单位章）：</w:t>
      </w:r>
    </w:p>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法定代表人或其授权的代理人(签字)：</w:t>
      </w:r>
    </w:p>
    <w:p>
      <w:pPr>
        <w:adjustRightInd w:val="0"/>
        <w:snapToGrid w:val="0"/>
        <w:spacing w:before="5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adjustRightInd w:val="0"/>
        <w:snapToGrid w:val="0"/>
        <w:spacing w:line="360" w:lineRule="auto"/>
        <w:jc w:val="cente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九、资格证明文件</w:t>
      </w:r>
      <w:bookmarkStart w:id="100" w:name="_Toc294206743"/>
      <w:bookmarkStart w:id="101" w:name="_Toc294186060"/>
    </w:p>
    <w:bookmarkEnd w:id="100"/>
    <w:bookmarkEnd w:id="101"/>
    <w:p>
      <w:pPr>
        <w:adjustRightInd w:val="0"/>
        <w:snapToGrid w:val="0"/>
        <w:spacing w:beforeLines="50" w:line="360" w:lineRule="auto"/>
        <w:ind w:right="420"/>
        <w:jc w:val="center"/>
        <w:rPr>
          <w:rFonts w:ascii="宋体" w:hAnsi="宋体" w:cs="宋体"/>
          <w:b/>
          <w:bCs/>
          <w:color w:val="000000" w:themeColor="text1"/>
          <w:sz w:val="24"/>
          <w14:textFill>
            <w14:solidFill>
              <w14:schemeClr w14:val="tx1"/>
            </w14:solidFill>
          </w14:textFill>
        </w:rPr>
      </w:pPr>
      <w:bookmarkStart w:id="102" w:name="_Toc294206746"/>
      <w:bookmarkStart w:id="103" w:name="_Toc294186063"/>
      <w:r>
        <w:rPr>
          <w:rFonts w:hint="eastAsia" w:ascii="宋体" w:hAnsi="宋体" w:cs="宋体"/>
          <w:b/>
          <w:bCs/>
          <w:color w:val="000000" w:themeColor="text1"/>
          <w:sz w:val="24"/>
          <w14:textFill>
            <w14:solidFill>
              <w14:schemeClr w14:val="tx1"/>
            </w14:solidFill>
          </w14:textFill>
        </w:rPr>
        <w:t>（一） 投标人基本情况</w:t>
      </w:r>
      <w:bookmarkEnd w:id="102"/>
      <w:bookmarkEnd w:id="103"/>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bookmarkStart w:id="104" w:name="_Toc294206747"/>
      <w:bookmarkStart w:id="105" w:name="_Toc294186064"/>
      <w:r>
        <w:rPr>
          <w:rFonts w:hint="eastAsia" w:ascii="宋体" w:hAnsi="宋体" w:cs="宋体"/>
          <w:color w:val="000000" w:themeColor="text1"/>
          <w:szCs w:val="21"/>
          <w14:textFill>
            <w14:solidFill>
              <w14:schemeClr w14:val="tx1"/>
            </w14:solidFill>
          </w14:textFill>
        </w:rPr>
        <w:t>1、名称及概况：</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投标人名称：</w:t>
      </w:r>
    </w:p>
    <w:p>
      <w:pPr>
        <w:adjustRightInd w:val="0"/>
        <w:snapToGrid w:val="0"/>
        <w:spacing w:line="360" w:lineRule="auto"/>
        <w:ind w:firstLine="424"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（2）地址：</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（3）传真/电话号码：邮政编码：</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（4）开户行：</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（5）开户账号：</w:t>
      </w:r>
    </w:p>
    <w:p>
      <w:pPr>
        <w:adjustRightInd w:val="0"/>
        <w:snapToGrid w:val="0"/>
        <w:spacing w:line="360" w:lineRule="auto"/>
        <w:ind w:firstLine="424"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（6）成立或注册日期：</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（7）注册号码：</w:t>
      </w:r>
    </w:p>
    <w:p>
      <w:pPr>
        <w:adjustRightInd w:val="0"/>
        <w:snapToGrid w:val="0"/>
        <w:spacing w:line="360" w:lineRule="auto"/>
        <w:ind w:firstLine="424"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（8）法定代表人姓名：</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经营范围：</w:t>
      </w: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3、近年营业额：</w:t>
      </w:r>
    </w:p>
    <w:tbl>
      <w:tblPr>
        <w:tblStyle w:val="24"/>
        <w:tblW w:w="0" w:type="auto"/>
        <w:tblInd w:w="10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4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tcPr>
          <w:p>
            <w:pPr>
              <w:adjustRightInd w:val="0"/>
              <w:snapToGrid w:val="0"/>
              <w:spacing w:line="360" w:lineRule="auto"/>
              <w:ind w:firstLine="424"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年度</w:t>
            </w:r>
          </w:p>
        </w:tc>
        <w:tc>
          <w:tcPr>
            <w:tcW w:w="4874" w:type="dxa"/>
          </w:tcPr>
          <w:p>
            <w:pPr>
              <w:adjustRightInd w:val="0"/>
              <w:snapToGrid w:val="0"/>
              <w:spacing w:line="360" w:lineRule="auto"/>
              <w:ind w:firstLine="424"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tcPr>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tc>
        <w:tc>
          <w:tcPr>
            <w:tcW w:w="4874" w:type="dxa"/>
          </w:tcPr>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tcPr>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tc>
        <w:tc>
          <w:tcPr>
            <w:tcW w:w="4874" w:type="dxa"/>
          </w:tcPr>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tcPr>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tc>
        <w:tc>
          <w:tcPr>
            <w:tcW w:w="4874" w:type="dxa"/>
          </w:tcPr>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tc>
      </w:tr>
    </w:tbl>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p>
      <w:pPr>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兹声明上述数据和资料是真实、正确的，我们同意遵照贵方要求出示有关证明文件。</w:t>
      </w:r>
    </w:p>
    <w:p>
      <w:pPr>
        <w:widowControl/>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p>
      <w:pPr>
        <w:widowControl/>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p>
      <w:pPr>
        <w:widowControl/>
        <w:adjustRightInd w:val="0"/>
        <w:snapToGrid w:val="0"/>
        <w:spacing w:line="360" w:lineRule="auto"/>
        <w:ind w:firstLine="424" w:firstLineChars="200"/>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法定代表人或其授权的代理人(签字)：</w:t>
      </w:r>
    </w:p>
    <w:p>
      <w:pPr>
        <w:adjustRightInd w:val="0"/>
        <w:snapToGrid w:val="0"/>
        <w:spacing w:line="360" w:lineRule="auto"/>
        <w:rPr>
          <w:rFonts w:ascii="宋体" w:hAnsi="宋体" w:cs="宋体"/>
          <w:color w:val="000000" w:themeColor="text1"/>
          <w:szCs w:val="21"/>
          <w14:textFill>
            <w14:solidFill>
              <w14:schemeClr w14:val="tx1"/>
            </w14:solidFill>
          </w14:textFill>
        </w:rPr>
        <w:sectPr>
          <w:pgSz w:w="11906" w:h="16838"/>
          <w:pgMar w:top="1417" w:right="1417" w:bottom="1417" w:left="1417" w:header="851" w:footer="992" w:gutter="113"/>
          <w:cols w:space="720" w:num="1"/>
          <w:titlePg/>
          <w:docGrid w:type="linesAndChars" w:linePitch="326" w:charSpace="614"/>
        </w:sectPr>
      </w:pPr>
      <w:r>
        <w:rPr>
          <w:rFonts w:hint="eastAsia" w:ascii="宋体" w:hAnsi="宋体" w:cs="宋体"/>
          <w:color w:val="000000" w:themeColor="text1"/>
          <w:szCs w:val="21"/>
          <w14:textFill>
            <w14:solidFill>
              <w14:schemeClr w14:val="tx1"/>
            </w14:solidFill>
          </w14:textFill>
        </w:rPr>
        <w:t>日期：  年  月  日</w:t>
      </w:r>
    </w:p>
    <w:bookmarkEnd w:id="104"/>
    <w:bookmarkEnd w:id="105"/>
    <w:p>
      <w:pPr>
        <w:adjustRightInd w:val="0"/>
        <w:snapToGrid w:val="0"/>
        <w:spacing w:beforeLines="50" w:line="360" w:lineRule="auto"/>
        <w:ind w:right="420"/>
        <w:jc w:val="center"/>
        <w:rPr>
          <w:rFonts w:ascii="黑体" w:hAnsi="华文中宋" w:eastAsia="黑体"/>
          <w:color w:val="000000" w:themeColor="text1"/>
          <w:sz w:val="24"/>
          <w14:textFill>
            <w14:solidFill>
              <w14:schemeClr w14:val="tx1"/>
            </w14:solidFill>
          </w14:textFill>
        </w:rPr>
      </w:pPr>
      <w:r>
        <w:rPr>
          <w:rFonts w:hint="eastAsia" w:ascii="黑体" w:hAnsi="华文中宋" w:eastAsia="黑体"/>
          <w:color w:val="000000" w:themeColor="text1"/>
          <w:sz w:val="24"/>
          <w14:textFill>
            <w14:solidFill>
              <w14:schemeClr w14:val="tx1"/>
            </w14:solidFill>
          </w14:textFill>
        </w:rPr>
        <w:t>（二）资格证明文件</w:t>
      </w:r>
    </w:p>
    <w:p>
      <w:pPr>
        <w:adjustRightInd w:val="0"/>
        <w:snapToGrid w:val="0"/>
        <w:spacing w:line="312"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资格证明文件组成如下：</w:t>
      </w:r>
    </w:p>
    <w:p>
      <w:pPr>
        <w:adjustRightInd w:val="0"/>
        <w:snapToGrid w:val="0"/>
        <w:spacing w:line="312" w:lineRule="auto"/>
        <w:ind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1、证明具有独立承担民事责任能力的材料；</w:t>
      </w:r>
    </w:p>
    <w:p>
      <w:pPr>
        <w:adjustRightInd w:val="0"/>
        <w:snapToGrid w:val="0"/>
        <w:spacing w:line="312" w:lineRule="auto"/>
        <w:ind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2、证明具有良好的商业信誉和健全的财务会计制度的材料；</w:t>
      </w:r>
    </w:p>
    <w:p>
      <w:pPr>
        <w:adjustRightInd w:val="0"/>
        <w:snapToGrid w:val="0"/>
        <w:spacing w:line="312" w:lineRule="auto"/>
        <w:ind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3、证明具有履行合同所必需的设备和专业技术能力的材料；</w:t>
      </w:r>
    </w:p>
    <w:p>
      <w:pPr>
        <w:adjustRightInd w:val="0"/>
        <w:snapToGrid w:val="0"/>
        <w:spacing w:line="312" w:lineRule="auto"/>
        <w:ind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4、证明具有依法缴纳税收和社会保障资金的良好记录的材料；</w:t>
      </w:r>
    </w:p>
    <w:p>
      <w:pPr>
        <w:adjustRightInd w:val="0"/>
        <w:snapToGrid w:val="0"/>
        <w:spacing w:line="312" w:lineRule="auto"/>
        <w:ind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5、证明参加本次政府采购前三年内,在经营活动中没有重大违法记录的材料；</w:t>
      </w:r>
    </w:p>
    <w:p>
      <w:pPr>
        <w:adjustRightInd w:val="0"/>
        <w:snapToGrid w:val="0"/>
        <w:spacing w:line="312" w:lineRule="auto"/>
        <w:ind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6、本项目为：</w:t>
      </w:r>
      <w:r>
        <w:rPr>
          <w:rFonts w:hint="eastAsia" w:ascii="宋体" w:hAnsi="宋体" w:cs="宋体"/>
          <w:color w:val="000000" w:themeColor="text1"/>
          <w:szCs w:val="21"/>
          <w14:textFill>
            <w14:solidFill>
              <w14:schemeClr w14:val="tx1"/>
            </w14:solidFill>
          </w14:textFill>
        </w:rPr>
        <w:t>专门面向中小企业采购</w:t>
      </w:r>
      <w:r>
        <w:rPr>
          <w:rFonts w:hint="eastAsia" w:ascii="宋体" w:hAnsi="宋体" w:cs="宋体"/>
          <w:color w:val="000000" w:themeColor="text1"/>
          <w14:textFill>
            <w14:solidFill>
              <w14:schemeClr w14:val="tx1"/>
            </w14:solidFill>
          </w14:textFill>
        </w:rPr>
        <w:t>（所属行业：其他未列明行业）</w:t>
      </w:r>
      <w:r>
        <w:rPr>
          <w:rFonts w:hint="eastAsia" w:ascii="宋体" w:hAnsi="宋体" w:cs="宋体"/>
          <w:bCs/>
          <w:color w:val="000000" w:themeColor="text1"/>
          <w:szCs w:val="21"/>
          <w14:textFill>
            <w14:solidFill>
              <w14:schemeClr w14:val="tx1"/>
            </w14:solidFill>
          </w14:textFill>
        </w:rPr>
        <w:t>（投标人必须提供符合要求的中小企业声明函或监狱企业有效证明材料或残疾人福利性单位声明函）</w:t>
      </w:r>
    </w:p>
    <w:p>
      <w:pPr>
        <w:adjustRightInd w:val="0"/>
        <w:snapToGrid w:val="0"/>
        <w:spacing w:line="312" w:lineRule="auto"/>
        <w:ind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7、招标文件要求的其他资格证明文件；</w:t>
      </w:r>
    </w:p>
    <w:p>
      <w:pPr>
        <w:pStyle w:val="14"/>
        <w:adjustRightInd w:val="0"/>
        <w:snapToGrid w:val="0"/>
        <w:spacing w:line="312" w:lineRule="auto"/>
        <w:ind w:firstLine="424" w:firstLineChars="200"/>
        <w:rPr>
          <w:rFonts w:hAnsi="宋体" w:cs="宋体"/>
          <w:color w:val="000000" w:themeColor="text1"/>
          <w:sz w:val="21"/>
          <w14:textFill>
            <w14:solidFill>
              <w14:schemeClr w14:val="tx1"/>
            </w14:solidFill>
          </w14:textFill>
        </w:rPr>
      </w:pPr>
    </w:p>
    <w:p>
      <w:pPr>
        <w:adjustRightInd w:val="0"/>
        <w:snapToGrid w:val="0"/>
        <w:spacing w:line="312" w:lineRule="auto"/>
        <w:ind w:firstLine="424"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注：投标人在政府采购项目资格审查环节提供了满足相应条件的书面承诺书(详见政府采购投标人信用承诺函）后，可不再需要提供以下证明材料: </w:t>
      </w:r>
    </w:p>
    <w:p>
      <w:pPr>
        <w:numPr>
          <w:ilvl w:val="0"/>
          <w:numId w:val="6"/>
        </w:numPr>
        <w:adjustRightInd w:val="0"/>
        <w:snapToGrid w:val="0"/>
        <w:spacing w:line="312" w:lineRule="auto"/>
        <w:ind w:firstLine="424"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具有独立承担民事责任能力的证明材料；</w:t>
      </w:r>
    </w:p>
    <w:p>
      <w:pPr>
        <w:numPr>
          <w:ilvl w:val="0"/>
          <w:numId w:val="6"/>
        </w:numPr>
        <w:adjustRightInd w:val="0"/>
        <w:snapToGrid w:val="0"/>
        <w:spacing w:line="312" w:lineRule="auto"/>
        <w:ind w:firstLine="424"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符合国家相关规定的财务状况报告；</w:t>
      </w:r>
    </w:p>
    <w:p>
      <w:pPr>
        <w:adjustRightInd w:val="0"/>
        <w:snapToGrid w:val="0"/>
        <w:spacing w:line="312" w:lineRule="auto"/>
        <w:ind w:firstLine="424"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3、依法缴纳税收的证明材料；</w:t>
      </w:r>
    </w:p>
    <w:p>
      <w:pPr>
        <w:adjustRightInd w:val="0"/>
        <w:snapToGrid w:val="0"/>
        <w:spacing w:line="312" w:lineRule="auto"/>
        <w:ind w:firstLine="424"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4、依法缴纳社会保障资金的证明材料；</w:t>
      </w:r>
    </w:p>
    <w:p>
      <w:pPr>
        <w:adjustRightInd w:val="0"/>
        <w:snapToGrid w:val="0"/>
        <w:spacing w:line="312" w:lineRule="auto"/>
        <w:ind w:firstLine="424"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5、具备履行政府采购合同所必需的设备和专业技术能力的证明材料；</w:t>
      </w:r>
    </w:p>
    <w:p>
      <w:pPr>
        <w:adjustRightInd w:val="0"/>
        <w:snapToGrid w:val="0"/>
        <w:spacing w:line="312" w:lineRule="auto"/>
        <w:ind w:firstLine="424"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6、参加政府采购活动前三年内在经营活动中没有重大违法记录的证明材料; </w:t>
      </w:r>
    </w:p>
    <w:p>
      <w:pPr>
        <w:adjustRightInd w:val="0"/>
        <w:snapToGrid w:val="0"/>
        <w:spacing w:line="312" w:lineRule="auto"/>
        <w:ind w:firstLine="424"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7、未被列入严重失信主体名单、失信被执行人、税收违法黑名单、政府采购严重违法失信行为记录名单的证明材料。</w:t>
      </w:r>
    </w:p>
    <w:p>
      <w:pPr>
        <w:adjustRightInd w:val="0"/>
        <w:snapToGrid w:val="0"/>
        <w:spacing w:line="312" w:lineRule="auto"/>
        <w:ind w:firstLine="424"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投标人在投标时，应按规定提供信用承诺函采购人有权在确定成交结果后、签订政府采购合同前核实中标人所作信用承诺事项的真实性，投标人应对提供虚假承诺行为承担相应的法律责任。</w:t>
      </w:r>
    </w:p>
    <w:p>
      <w:pPr>
        <w:adjustRightInd w:val="0"/>
        <w:snapToGrid w:val="0"/>
        <w:spacing w:line="360" w:lineRule="auto"/>
        <w:jc w:val="center"/>
        <w:rPr>
          <w:rFonts w:ascii="黑体" w:hAnsi="宋体" w:eastAsia="黑体"/>
          <w:b/>
          <w:bCs/>
          <w:color w:val="000000" w:themeColor="text1"/>
          <w:sz w:val="28"/>
          <w:szCs w:val="28"/>
          <w14:textFill>
            <w14:solidFill>
              <w14:schemeClr w14:val="tx1"/>
            </w14:solidFill>
          </w14:textFill>
        </w:rPr>
      </w:pPr>
    </w:p>
    <w:p>
      <w:pPr>
        <w:adjustRightInd w:val="0"/>
        <w:snapToGrid w:val="0"/>
        <w:spacing w:line="360" w:lineRule="auto"/>
        <w:jc w:val="center"/>
        <w:rPr>
          <w:rFonts w:ascii="黑体" w:hAnsi="宋体" w:eastAsia="黑体"/>
          <w:b/>
          <w:bCs/>
          <w:color w:val="000000" w:themeColor="text1"/>
          <w:sz w:val="28"/>
          <w:szCs w:val="28"/>
          <w14:textFill>
            <w14:solidFill>
              <w14:schemeClr w14:val="tx1"/>
            </w14:solidFill>
          </w14:textFill>
        </w:rPr>
      </w:pPr>
    </w:p>
    <w:p>
      <w:pPr>
        <w:adjustRightInd w:val="0"/>
        <w:snapToGrid w:val="0"/>
        <w:spacing w:line="360" w:lineRule="auto"/>
        <w:jc w:val="center"/>
        <w:rPr>
          <w:rFonts w:ascii="黑体" w:hAnsi="宋体" w:eastAsia="黑体"/>
          <w:b/>
          <w:bCs/>
          <w:color w:val="000000" w:themeColor="text1"/>
          <w:sz w:val="28"/>
          <w:szCs w:val="28"/>
          <w14:textFill>
            <w14:solidFill>
              <w14:schemeClr w14:val="tx1"/>
            </w14:solidFill>
          </w14:textFill>
        </w:rPr>
      </w:pPr>
    </w:p>
    <w:p>
      <w:pPr>
        <w:adjustRightInd w:val="0"/>
        <w:snapToGrid w:val="0"/>
        <w:spacing w:line="360" w:lineRule="auto"/>
        <w:jc w:val="center"/>
        <w:rPr>
          <w:rFonts w:ascii="黑体" w:hAnsi="宋体" w:eastAsia="黑体"/>
          <w:b/>
          <w:bCs/>
          <w:color w:val="000000" w:themeColor="text1"/>
          <w:sz w:val="28"/>
          <w:szCs w:val="28"/>
          <w14:textFill>
            <w14:solidFill>
              <w14:schemeClr w14:val="tx1"/>
            </w14:solidFill>
          </w14:textFill>
        </w:rPr>
      </w:pPr>
    </w:p>
    <w:p>
      <w:pPr>
        <w:adjustRightInd w:val="0"/>
        <w:snapToGrid w:val="0"/>
        <w:spacing w:line="360" w:lineRule="auto"/>
        <w:jc w:val="center"/>
        <w:rPr>
          <w:rFonts w:ascii="黑体" w:hAnsi="宋体" w:eastAsia="黑体"/>
          <w:b/>
          <w:bCs/>
          <w:color w:val="000000" w:themeColor="text1"/>
          <w:sz w:val="28"/>
          <w:szCs w:val="28"/>
          <w14:textFill>
            <w14:solidFill>
              <w14:schemeClr w14:val="tx1"/>
            </w14:solidFill>
          </w14:textFill>
        </w:rPr>
      </w:pPr>
    </w:p>
    <w:p>
      <w:pPr>
        <w:adjustRightInd w:val="0"/>
        <w:snapToGrid w:val="0"/>
        <w:spacing w:line="360" w:lineRule="auto"/>
        <w:jc w:val="center"/>
        <w:rPr>
          <w:rFonts w:ascii="黑体" w:hAnsi="宋体" w:eastAsia="黑体"/>
          <w:b/>
          <w:bCs/>
          <w:color w:val="000000" w:themeColor="text1"/>
          <w:sz w:val="28"/>
          <w:szCs w:val="28"/>
          <w14:textFill>
            <w14:solidFill>
              <w14:schemeClr w14:val="tx1"/>
            </w14:solidFill>
          </w14:textFill>
        </w:rPr>
      </w:pPr>
    </w:p>
    <w:p>
      <w:pPr>
        <w:adjustRightInd w:val="0"/>
        <w:snapToGrid w:val="0"/>
        <w:spacing w:line="360" w:lineRule="auto"/>
        <w:jc w:val="center"/>
        <w:rPr>
          <w:rFonts w:ascii="黑体" w:hAnsi="宋体" w:eastAsia="黑体"/>
          <w:b/>
          <w:bCs/>
          <w:color w:val="000000" w:themeColor="text1"/>
          <w:sz w:val="28"/>
          <w:szCs w:val="28"/>
          <w14:textFill>
            <w14:solidFill>
              <w14:schemeClr w14:val="tx1"/>
            </w14:solidFill>
          </w14:textFill>
        </w:rPr>
      </w:pPr>
    </w:p>
    <w:p>
      <w:pPr>
        <w:adjustRightInd w:val="0"/>
        <w:snapToGrid w:val="0"/>
        <w:spacing w:line="360" w:lineRule="auto"/>
        <w:jc w:val="center"/>
        <w:rPr>
          <w:rFonts w:ascii="黑体" w:hAnsi="宋体" w:eastAsia="黑体"/>
          <w:b/>
          <w:bCs/>
          <w:color w:val="000000" w:themeColor="text1"/>
          <w:sz w:val="28"/>
          <w:szCs w:val="28"/>
          <w14:textFill>
            <w14:solidFill>
              <w14:schemeClr w14:val="tx1"/>
            </w14:solidFill>
          </w14:textFill>
        </w:rPr>
      </w:pPr>
    </w:p>
    <w:p>
      <w:pPr>
        <w:adjustRightInd w:val="0"/>
        <w:snapToGrid w:val="0"/>
        <w:spacing w:line="360" w:lineRule="auto"/>
        <w:jc w:val="center"/>
        <w:rPr>
          <w:rFonts w:ascii="黑体" w:hAnsi="宋体" w:eastAsia="黑体"/>
          <w:b/>
          <w:bCs/>
          <w:color w:val="000000" w:themeColor="text1"/>
          <w:sz w:val="28"/>
          <w:szCs w:val="28"/>
          <w14:textFill>
            <w14:solidFill>
              <w14:schemeClr w14:val="tx1"/>
            </w14:solidFill>
          </w14:textFill>
        </w:rPr>
      </w:pPr>
    </w:p>
    <w:p>
      <w:pPr>
        <w:pStyle w:val="2"/>
      </w:pPr>
    </w:p>
    <w:p>
      <w:pPr>
        <w:adjustRightInd w:val="0"/>
        <w:snapToGrid w:val="0"/>
        <w:spacing w:beforeLines="50" w:line="360" w:lineRule="auto"/>
        <w:ind w:right="420"/>
        <w:jc w:val="center"/>
        <w:rPr>
          <w:rFonts w:ascii="黑体" w:hAnsi="华文中宋" w:eastAsia="黑体"/>
          <w:color w:val="000000" w:themeColor="text1"/>
          <w:sz w:val="24"/>
          <w14:textFill>
            <w14:solidFill>
              <w14:schemeClr w14:val="tx1"/>
            </w14:solidFill>
          </w14:textFill>
        </w:rPr>
      </w:pPr>
      <w:r>
        <w:rPr>
          <w:rFonts w:hint="eastAsia" w:ascii="黑体" w:hAnsi="华文中宋" w:eastAsia="黑体"/>
          <w:color w:val="000000" w:themeColor="text1"/>
          <w:sz w:val="24"/>
          <w14:textFill>
            <w14:solidFill>
              <w14:schemeClr w14:val="tx1"/>
            </w14:solidFill>
          </w14:textFill>
        </w:rPr>
        <w:t>政府采购投标人信用承诺函</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致: </w:t>
      </w:r>
      <w:r>
        <w:rPr>
          <w:rFonts w:hint="eastAsia" w:ascii="宋体" w:hAnsi="宋体" w:cs="宋体"/>
          <w:color w:val="000000" w:themeColor="text1"/>
          <w:szCs w:val="21"/>
          <w14:textFill>
            <w14:solidFill>
              <w14:schemeClr w14:val="tx1"/>
            </w14:solidFill>
          </w14:textFill>
        </w:rPr>
        <w:t>江西安必信招标咨询有限公司</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单位名称（自然人姓名）：</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统一社会信用代码（身份证号码）：</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法定代表人（负责人）：</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联系地址和电话：</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我单位（本人）自愿参加本次政府采购活动。严格遵守《中华人民共和国政府采购法》及相关法律法规，坚守公开、公平公正和诚实信用等原则，依法诚信经营，无条件遵守本次政府采购活动的各项规定。</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我单位（本人）郑重承诺我单位（本人）符合《中华人民共和国政府采购法》第二十二条规定的条件：</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（一）具有独立承担民事责任的能力；</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（二）具有良好的商业信誉和健全的财务会计制度；</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（三）具有履行合同所必需的设备和专业技术能力；</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（四）有依法缴纳税收和社会保障资金的良好记录；</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（五）参加政府采购活动前三年内，在经营活动中没有重大违法记录；</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（六）符合法律、行政法规规定的其他条件。</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未被列入严重失信主体名单。失信被执行人、税收违法黑名单、政府采购严重违法失信行为记录名单，未曾作出虚假承诺。</w:t>
      </w:r>
    </w:p>
    <w:p>
      <w:pPr>
        <w:adjustRightInd w:val="0"/>
        <w:snapToGrid w:val="0"/>
        <w:spacing w:line="360"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单位（本人）对上述承诺事项的真实性、合法性及有效性负责。并已知晓如所做信用承诺不实、不尽，可能涉嫌《中华人民共和国政府采购法》第七十七条第一款第（一）项“提供虚假材料谋取中标成交”的违法行为。经调查核实的，将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以及第七十九条:“……给他人造成损失的，依照有关民事法律规定承担民事责任。”进行处理。</w:t>
      </w:r>
    </w:p>
    <w:p>
      <w:pPr>
        <w:adjustRightInd w:val="0"/>
        <w:snapToGrid w:val="0"/>
        <w:spacing w:line="360" w:lineRule="auto"/>
        <w:jc w:val="left"/>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法定代表人或其授权的代理人（签字或盖章）：</w:t>
      </w:r>
    </w:p>
    <w:p>
      <w:pPr>
        <w:widowControl/>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注:1. 投标人须在响应文件中按此模板提供承诺函，既未提供前述承诺函又未提供对应事项证明材料的，视为未实质性响应招标文件要求，按无效响应处理。</w:t>
      </w:r>
    </w:p>
    <w:p>
      <w:pPr>
        <w:adjustRightInd w:val="0"/>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2.投标人的法定代表人或者授权代表的签字或盖章应真实有效，如由授权代表签字或盖章的，应提供“ 法定代表人授权书 ”，前述授权书应当明确授权事项、内容及权限范围。</w:t>
      </w:r>
    </w:p>
    <w:p>
      <w:pPr>
        <w:adjustRightInd w:val="0"/>
        <w:snapToGrid w:val="0"/>
        <w:spacing w:line="360" w:lineRule="auto"/>
        <w:jc w:val="center"/>
        <w:rPr>
          <w:rFonts w:ascii="宋体" w:hAnsi="宋体" w:cs="宋体"/>
          <w:b/>
          <w:bCs/>
          <w:color w:val="000000" w:themeColor="text1"/>
          <w:spacing w:val="6"/>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w:t>
      </w:r>
      <w:r>
        <w:rPr>
          <w:rFonts w:hint="eastAsia" w:ascii="宋体" w:hAnsi="宋体" w:cs="宋体"/>
          <w:b/>
          <w:bCs/>
          <w:color w:val="000000" w:themeColor="text1"/>
          <w:spacing w:val="6"/>
          <w:kern w:val="0"/>
          <w:sz w:val="24"/>
          <w14:textFill>
            <w14:solidFill>
              <w14:schemeClr w14:val="tx1"/>
            </w14:solidFill>
          </w14:textFill>
        </w:rPr>
        <w:t>中小企业、残疾人福利性单位声明函</w:t>
      </w:r>
    </w:p>
    <w:p>
      <w:pPr>
        <w:adjustRightInd w:val="0"/>
        <w:snapToGrid w:val="0"/>
        <w:spacing w:line="360" w:lineRule="auto"/>
        <w:jc w:val="center"/>
        <w:rPr>
          <w:rFonts w:ascii="宋体" w:hAnsi="宋体" w:cs="宋体"/>
          <w:bCs/>
          <w:color w:val="000000" w:themeColor="text1"/>
          <w:spacing w:val="6"/>
          <w:kern w:val="0"/>
          <w:sz w:val="24"/>
          <w14:textFill>
            <w14:solidFill>
              <w14:schemeClr w14:val="tx1"/>
            </w14:solidFill>
          </w14:textFill>
        </w:rPr>
      </w:pPr>
      <w:r>
        <w:rPr>
          <w:rFonts w:hint="eastAsia" w:ascii="宋体" w:hAnsi="宋体" w:cs="宋体"/>
          <w:b/>
          <w:color w:val="000000" w:themeColor="text1"/>
          <w:spacing w:val="6"/>
          <w:kern w:val="0"/>
          <w:sz w:val="24"/>
          <w14:textFill>
            <w14:solidFill>
              <w14:schemeClr w14:val="tx1"/>
            </w14:solidFill>
          </w14:textFill>
        </w:rPr>
        <w:t>1、中小企业声明函</w:t>
      </w:r>
    </w:p>
    <w:p>
      <w:pPr>
        <w:spacing w:line="360" w:lineRule="auto"/>
        <w:ind w:firstLine="448" w:firstLineChars="200"/>
        <w:jc w:val="left"/>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本公司郑重声明，根据《政府采购促进中小企业发展管理办法》（财库﹝2020﹞46号）的规定，本公司参加 </w:t>
      </w:r>
      <w:r>
        <w:rPr>
          <w:rFonts w:hint="eastAsia" w:ascii="宋体" w:hAnsi="宋体" w:cs="宋体"/>
          <w:color w:val="000000" w:themeColor="text1"/>
          <w:spacing w:val="6"/>
          <w:szCs w:val="21"/>
          <w:u w:val="single"/>
          <w14:textFill>
            <w14:solidFill>
              <w14:schemeClr w14:val="tx1"/>
            </w14:solidFill>
          </w14:textFill>
        </w:rPr>
        <w:t xml:space="preserve">（单位名称） </w:t>
      </w:r>
      <w:r>
        <w:rPr>
          <w:rFonts w:hint="eastAsia" w:ascii="宋体" w:hAnsi="宋体" w:cs="宋体"/>
          <w:color w:val="000000" w:themeColor="text1"/>
          <w:spacing w:val="6"/>
          <w:szCs w:val="21"/>
          <w14:textFill>
            <w14:solidFill>
              <w14:schemeClr w14:val="tx1"/>
            </w14:solidFill>
          </w14:textFill>
        </w:rPr>
        <w:t xml:space="preserve">的 </w:t>
      </w:r>
      <w:r>
        <w:rPr>
          <w:rFonts w:hint="eastAsia" w:ascii="宋体" w:hAnsi="宋体" w:cs="宋体"/>
          <w:color w:val="000000" w:themeColor="text1"/>
          <w:spacing w:val="6"/>
          <w:szCs w:val="21"/>
          <w:u w:val="single"/>
          <w14:textFill>
            <w14:solidFill>
              <w14:schemeClr w14:val="tx1"/>
            </w14:solidFill>
          </w14:textFill>
        </w:rPr>
        <w:t>（项目名称）</w:t>
      </w:r>
      <w:r>
        <w:rPr>
          <w:rFonts w:hint="eastAsia" w:ascii="宋体" w:hAnsi="宋体" w:cs="宋体"/>
          <w:color w:val="000000" w:themeColor="text1"/>
          <w:spacing w:val="6"/>
          <w:szCs w:val="21"/>
          <w14:textFill>
            <w14:solidFill>
              <w14:schemeClr w14:val="tx1"/>
            </w14:solidFill>
          </w14:textFill>
        </w:rPr>
        <w:t xml:space="preserve"> 采购活动，服务全部由符合政策要求的中小企业承接。相关企业的具体情况如下：</w:t>
      </w:r>
    </w:p>
    <w:p>
      <w:pPr>
        <w:spacing w:line="360" w:lineRule="auto"/>
        <w:ind w:firstLine="448" w:firstLineChars="200"/>
        <w:jc w:val="left"/>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1. </w:t>
      </w:r>
      <w:r>
        <w:rPr>
          <w:rFonts w:hint="eastAsia" w:ascii="宋体" w:hAnsi="宋体" w:cs="宋体"/>
          <w:color w:val="000000" w:themeColor="text1"/>
          <w:spacing w:val="6"/>
          <w:szCs w:val="21"/>
          <w:u w:val="single"/>
          <w14:textFill>
            <w14:solidFill>
              <w14:schemeClr w14:val="tx1"/>
            </w14:solidFill>
          </w14:textFill>
        </w:rPr>
        <w:t>（标的名称）</w:t>
      </w:r>
      <w:r>
        <w:rPr>
          <w:rFonts w:hint="eastAsia" w:ascii="宋体" w:hAnsi="宋体" w:cs="宋体"/>
          <w:color w:val="000000" w:themeColor="text1"/>
          <w:spacing w:val="6"/>
          <w:szCs w:val="21"/>
          <w14:textFill>
            <w14:solidFill>
              <w14:schemeClr w14:val="tx1"/>
            </w14:solidFill>
          </w14:textFill>
        </w:rPr>
        <w:t xml:space="preserve"> ，属于 </w:t>
      </w:r>
      <w:r>
        <w:rPr>
          <w:rFonts w:hint="eastAsia" w:ascii="宋体" w:hAnsi="宋体" w:cs="宋体"/>
          <w:color w:val="000000" w:themeColor="text1"/>
          <w:spacing w:val="6"/>
          <w:szCs w:val="21"/>
          <w:u w:val="single"/>
          <w14:textFill>
            <w14:solidFill>
              <w14:schemeClr w14:val="tx1"/>
            </w14:solidFill>
          </w14:textFill>
        </w:rPr>
        <w:t>（采购文件中明确的所属行业）</w:t>
      </w:r>
      <w:r>
        <w:rPr>
          <w:rFonts w:hint="eastAsia" w:ascii="宋体" w:hAnsi="宋体" w:cs="宋体"/>
          <w:color w:val="000000" w:themeColor="text1"/>
          <w:spacing w:val="6"/>
          <w:szCs w:val="21"/>
          <w14:textFill>
            <w14:solidFill>
              <w14:schemeClr w14:val="tx1"/>
            </w14:solidFill>
          </w14:textFill>
        </w:rPr>
        <w:t xml:space="preserve"> ；承接企业为</w:t>
      </w:r>
      <w:r>
        <w:rPr>
          <w:rFonts w:hint="eastAsia" w:ascii="宋体" w:hAnsi="宋体" w:cs="宋体"/>
          <w:color w:val="000000" w:themeColor="text1"/>
          <w:spacing w:val="6"/>
          <w:szCs w:val="21"/>
          <w:u w:val="single"/>
          <w14:textFill>
            <w14:solidFill>
              <w14:schemeClr w14:val="tx1"/>
            </w14:solidFill>
          </w14:textFill>
        </w:rPr>
        <w:t xml:space="preserve"> （企业名称）</w:t>
      </w:r>
      <w:r>
        <w:rPr>
          <w:rFonts w:hint="eastAsia" w:ascii="宋体" w:hAnsi="宋体" w:cs="宋体"/>
          <w:color w:val="000000" w:themeColor="text1"/>
          <w:spacing w:val="6"/>
          <w:szCs w:val="21"/>
          <w14:textFill>
            <w14:solidFill>
              <w14:schemeClr w14:val="tx1"/>
            </w14:solidFill>
          </w14:textFill>
        </w:rPr>
        <w:t>，从业人员</w:t>
      </w:r>
      <w:r>
        <w:rPr>
          <w:rFonts w:hint="eastAsia" w:ascii="宋体" w:hAnsi="宋体" w:cs="宋体"/>
          <w:color w:val="000000" w:themeColor="text1"/>
          <w:spacing w:val="6"/>
          <w:szCs w:val="21"/>
          <w:u w:val="single"/>
          <w14:textFill>
            <w14:solidFill>
              <w14:schemeClr w14:val="tx1"/>
            </w14:solidFill>
          </w14:textFill>
        </w:rPr>
        <w:t xml:space="preserve">     </w:t>
      </w:r>
      <w:r>
        <w:rPr>
          <w:rFonts w:hint="eastAsia" w:ascii="宋体" w:hAnsi="宋体" w:cs="宋体"/>
          <w:color w:val="000000" w:themeColor="text1"/>
          <w:spacing w:val="6"/>
          <w:szCs w:val="21"/>
          <w14:textFill>
            <w14:solidFill>
              <w14:schemeClr w14:val="tx1"/>
            </w14:solidFill>
          </w14:textFill>
        </w:rPr>
        <w:t>人，营业收入为</w:t>
      </w:r>
      <w:r>
        <w:rPr>
          <w:rFonts w:hint="eastAsia" w:ascii="宋体" w:hAnsi="宋体" w:cs="宋体"/>
          <w:color w:val="000000" w:themeColor="text1"/>
          <w:spacing w:val="6"/>
          <w:szCs w:val="21"/>
          <w:u w:val="single"/>
          <w14:textFill>
            <w14:solidFill>
              <w14:schemeClr w14:val="tx1"/>
            </w14:solidFill>
          </w14:textFill>
        </w:rPr>
        <w:t xml:space="preserve">    </w:t>
      </w:r>
      <w:r>
        <w:rPr>
          <w:rFonts w:hint="eastAsia" w:ascii="宋体" w:hAnsi="宋体" w:cs="宋体"/>
          <w:color w:val="000000" w:themeColor="text1"/>
          <w:spacing w:val="6"/>
          <w:szCs w:val="21"/>
          <w14:textFill>
            <w14:solidFill>
              <w14:schemeClr w14:val="tx1"/>
            </w14:solidFill>
          </w14:textFill>
        </w:rPr>
        <w:t>万元，资产总额为</w:t>
      </w:r>
      <w:r>
        <w:rPr>
          <w:rFonts w:hint="eastAsia" w:ascii="宋体" w:hAnsi="宋体" w:cs="宋体"/>
          <w:color w:val="000000" w:themeColor="text1"/>
          <w:spacing w:val="6"/>
          <w:szCs w:val="21"/>
          <w:u w:val="single"/>
          <w14:textFill>
            <w14:solidFill>
              <w14:schemeClr w14:val="tx1"/>
            </w14:solidFill>
          </w14:textFill>
        </w:rPr>
        <w:t xml:space="preserve">    </w:t>
      </w:r>
      <w:r>
        <w:rPr>
          <w:rFonts w:hint="eastAsia" w:ascii="宋体" w:hAnsi="宋体" w:cs="宋体"/>
          <w:color w:val="000000" w:themeColor="text1"/>
          <w:spacing w:val="6"/>
          <w:szCs w:val="21"/>
          <w14:textFill>
            <w14:solidFill>
              <w14:schemeClr w14:val="tx1"/>
            </w14:solidFill>
          </w14:textFill>
        </w:rPr>
        <w:t>万元，属于</w:t>
      </w:r>
      <w:r>
        <w:rPr>
          <w:rFonts w:hint="eastAsia" w:ascii="宋体" w:hAnsi="宋体" w:cs="宋体"/>
          <w:color w:val="000000" w:themeColor="text1"/>
          <w:spacing w:val="6"/>
          <w:szCs w:val="21"/>
          <w:u w:val="single"/>
          <w14:textFill>
            <w14:solidFill>
              <w14:schemeClr w14:val="tx1"/>
            </w14:solidFill>
          </w14:textFill>
        </w:rPr>
        <w:t xml:space="preserve"> （中型企业、小型企业、微型企业）</w:t>
      </w:r>
      <w:r>
        <w:rPr>
          <w:rFonts w:hint="eastAsia" w:ascii="宋体" w:hAnsi="宋体" w:cs="宋体"/>
          <w:color w:val="000000" w:themeColor="text1"/>
          <w:spacing w:val="6"/>
          <w:szCs w:val="21"/>
          <w14:textFill>
            <w14:solidFill>
              <w14:schemeClr w14:val="tx1"/>
            </w14:solidFill>
          </w14:textFill>
        </w:rPr>
        <w:t xml:space="preserve"> ；</w:t>
      </w:r>
    </w:p>
    <w:p>
      <w:pPr>
        <w:spacing w:line="360" w:lineRule="auto"/>
        <w:ind w:firstLine="448" w:firstLineChars="200"/>
        <w:jc w:val="left"/>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2. </w:t>
      </w:r>
      <w:r>
        <w:rPr>
          <w:rFonts w:hint="eastAsia" w:ascii="宋体" w:hAnsi="宋体" w:cs="宋体"/>
          <w:color w:val="000000" w:themeColor="text1"/>
          <w:spacing w:val="6"/>
          <w:szCs w:val="21"/>
          <w:u w:val="single"/>
          <w14:textFill>
            <w14:solidFill>
              <w14:schemeClr w14:val="tx1"/>
            </w14:solidFill>
          </w14:textFill>
        </w:rPr>
        <w:t>（标的名称）</w:t>
      </w:r>
      <w:r>
        <w:rPr>
          <w:rFonts w:hint="eastAsia" w:ascii="宋体" w:hAnsi="宋体" w:cs="宋体"/>
          <w:color w:val="000000" w:themeColor="text1"/>
          <w:spacing w:val="6"/>
          <w:szCs w:val="21"/>
          <w14:textFill>
            <w14:solidFill>
              <w14:schemeClr w14:val="tx1"/>
            </w14:solidFill>
          </w14:textFill>
        </w:rPr>
        <w:t xml:space="preserve"> ，属于 </w:t>
      </w:r>
      <w:r>
        <w:rPr>
          <w:rFonts w:hint="eastAsia" w:ascii="宋体" w:hAnsi="宋体" w:cs="宋体"/>
          <w:color w:val="000000" w:themeColor="text1"/>
          <w:spacing w:val="6"/>
          <w:szCs w:val="21"/>
          <w:u w:val="single"/>
          <w14:textFill>
            <w14:solidFill>
              <w14:schemeClr w14:val="tx1"/>
            </w14:solidFill>
          </w14:textFill>
        </w:rPr>
        <w:t>（采购文件中明确的所属行业）</w:t>
      </w:r>
      <w:r>
        <w:rPr>
          <w:rFonts w:hint="eastAsia" w:ascii="宋体" w:hAnsi="宋体" w:cs="宋体"/>
          <w:color w:val="000000" w:themeColor="text1"/>
          <w:spacing w:val="6"/>
          <w:szCs w:val="21"/>
          <w14:textFill>
            <w14:solidFill>
              <w14:schemeClr w14:val="tx1"/>
            </w14:solidFill>
          </w14:textFill>
        </w:rPr>
        <w:t xml:space="preserve"> ；承接企业为</w:t>
      </w:r>
      <w:r>
        <w:rPr>
          <w:rFonts w:hint="eastAsia" w:ascii="宋体" w:hAnsi="宋体" w:cs="宋体"/>
          <w:color w:val="000000" w:themeColor="text1"/>
          <w:spacing w:val="6"/>
          <w:szCs w:val="21"/>
          <w:u w:val="single"/>
          <w14:textFill>
            <w14:solidFill>
              <w14:schemeClr w14:val="tx1"/>
            </w14:solidFill>
          </w14:textFill>
        </w:rPr>
        <w:t xml:space="preserve"> （企业名称） </w:t>
      </w:r>
      <w:r>
        <w:rPr>
          <w:rFonts w:hint="eastAsia" w:ascii="宋体" w:hAnsi="宋体" w:cs="宋体"/>
          <w:color w:val="000000" w:themeColor="text1"/>
          <w:spacing w:val="6"/>
          <w:szCs w:val="21"/>
          <w14:textFill>
            <w14:solidFill>
              <w14:schemeClr w14:val="tx1"/>
            </w14:solidFill>
          </w14:textFill>
        </w:rPr>
        <w:t>，从业人员</w:t>
      </w:r>
      <w:r>
        <w:rPr>
          <w:rFonts w:hint="eastAsia" w:ascii="宋体" w:hAnsi="宋体" w:cs="宋体"/>
          <w:color w:val="000000" w:themeColor="text1"/>
          <w:spacing w:val="6"/>
          <w:szCs w:val="21"/>
          <w:u w:val="single"/>
          <w14:textFill>
            <w14:solidFill>
              <w14:schemeClr w14:val="tx1"/>
            </w14:solidFill>
          </w14:textFill>
        </w:rPr>
        <w:t xml:space="preserve">    </w:t>
      </w:r>
      <w:r>
        <w:rPr>
          <w:rFonts w:hint="eastAsia" w:ascii="宋体" w:hAnsi="宋体" w:cs="宋体"/>
          <w:color w:val="000000" w:themeColor="text1"/>
          <w:spacing w:val="6"/>
          <w:szCs w:val="21"/>
          <w14:textFill>
            <w14:solidFill>
              <w14:schemeClr w14:val="tx1"/>
            </w14:solidFill>
          </w14:textFill>
        </w:rPr>
        <w:t xml:space="preserve"> 人，营业收入为</w:t>
      </w:r>
      <w:r>
        <w:rPr>
          <w:rFonts w:hint="eastAsia" w:ascii="宋体" w:hAnsi="宋体" w:cs="宋体"/>
          <w:color w:val="000000" w:themeColor="text1"/>
          <w:spacing w:val="6"/>
          <w:szCs w:val="21"/>
          <w:u w:val="single"/>
          <w14:textFill>
            <w14:solidFill>
              <w14:schemeClr w14:val="tx1"/>
            </w14:solidFill>
          </w14:textFill>
        </w:rPr>
        <w:t xml:space="preserve">    </w:t>
      </w:r>
      <w:r>
        <w:rPr>
          <w:rFonts w:hint="eastAsia" w:ascii="宋体" w:hAnsi="宋体" w:cs="宋体"/>
          <w:color w:val="000000" w:themeColor="text1"/>
          <w:spacing w:val="6"/>
          <w:szCs w:val="21"/>
          <w14:textFill>
            <w14:solidFill>
              <w14:schemeClr w14:val="tx1"/>
            </w14:solidFill>
          </w14:textFill>
        </w:rPr>
        <w:t xml:space="preserve"> 万元，资产总额为</w:t>
      </w:r>
      <w:r>
        <w:rPr>
          <w:rFonts w:hint="eastAsia" w:ascii="宋体" w:hAnsi="宋体" w:cs="宋体"/>
          <w:color w:val="000000" w:themeColor="text1"/>
          <w:spacing w:val="6"/>
          <w:szCs w:val="21"/>
          <w:u w:val="single"/>
          <w14:textFill>
            <w14:solidFill>
              <w14:schemeClr w14:val="tx1"/>
            </w14:solidFill>
          </w14:textFill>
        </w:rPr>
        <w:t xml:space="preserve">    </w:t>
      </w:r>
      <w:r>
        <w:rPr>
          <w:rFonts w:hint="eastAsia" w:ascii="宋体" w:hAnsi="宋体" w:cs="宋体"/>
          <w:color w:val="000000" w:themeColor="text1"/>
          <w:spacing w:val="6"/>
          <w:szCs w:val="21"/>
          <w14:textFill>
            <w14:solidFill>
              <w14:schemeClr w14:val="tx1"/>
            </w14:solidFill>
          </w14:textFill>
        </w:rPr>
        <w:t xml:space="preserve"> 万元，属于</w:t>
      </w:r>
      <w:r>
        <w:rPr>
          <w:rFonts w:hint="eastAsia" w:ascii="宋体" w:hAnsi="宋体" w:cs="宋体"/>
          <w:color w:val="000000" w:themeColor="text1"/>
          <w:spacing w:val="6"/>
          <w:szCs w:val="21"/>
          <w:u w:val="single"/>
          <w14:textFill>
            <w14:solidFill>
              <w14:schemeClr w14:val="tx1"/>
            </w14:solidFill>
          </w14:textFill>
        </w:rPr>
        <w:t xml:space="preserve"> （中型企业、小型企业、微型企业）</w:t>
      </w:r>
      <w:r>
        <w:rPr>
          <w:rFonts w:hint="eastAsia" w:ascii="宋体" w:hAnsi="宋体" w:cs="宋体"/>
          <w:color w:val="000000" w:themeColor="text1"/>
          <w:spacing w:val="6"/>
          <w:szCs w:val="21"/>
          <w14:textFill>
            <w14:solidFill>
              <w14:schemeClr w14:val="tx1"/>
            </w14:solidFill>
          </w14:textFill>
        </w:rPr>
        <w:t xml:space="preserve"> ；</w:t>
      </w:r>
    </w:p>
    <w:p>
      <w:pPr>
        <w:spacing w:line="360" w:lineRule="auto"/>
        <w:ind w:firstLine="448" w:firstLineChars="200"/>
        <w:jc w:val="left"/>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w:t>
      </w:r>
    </w:p>
    <w:p>
      <w:pPr>
        <w:spacing w:line="360" w:lineRule="auto"/>
        <w:ind w:firstLine="448" w:firstLineChars="200"/>
        <w:jc w:val="left"/>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48" w:firstLineChars="200"/>
        <w:jc w:val="left"/>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本企业对上述声明内容的真实性负责。如有虚假，将依法承担相应责任。</w:t>
      </w:r>
    </w:p>
    <w:p>
      <w:pPr>
        <w:spacing w:line="360" w:lineRule="auto"/>
        <w:ind w:firstLine="448" w:firstLineChars="200"/>
        <w:jc w:val="left"/>
        <w:rPr>
          <w:rFonts w:ascii="宋体" w:hAnsi="宋体" w:cs="宋体"/>
          <w:color w:val="000000" w:themeColor="text1"/>
          <w:spacing w:val="6"/>
          <w:szCs w:val="21"/>
          <w14:textFill>
            <w14:solidFill>
              <w14:schemeClr w14:val="tx1"/>
            </w14:solidFill>
          </w14:textFill>
        </w:rPr>
      </w:pPr>
    </w:p>
    <w:p>
      <w:pPr>
        <w:spacing w:line="360" w:lineRule="auto"/>
        <w:ind w:firstLine="448" w:firstLineChars="200"/>
        <w:jc w:val="left"/>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企业名称（盖章）：</w:t>
      </w:r>
    </w:p>
    <w:p>
      <w:pPr>
        <w:spacing w:line="360" w:lineRule="auto"/>
        <w:ind w:firstLine="448" w:firstLineChars="200"/>
        <w:jc w:val="left"/>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日 期：</w:t>
      </w:r>
    </w:p>
    <w:p>
      <w:pPr>
        <w:spacing w:line="360" w:lineRule="auto"/>
        <w:ind w:firstLine="448"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备注：（1）从业人员、营业收入、资产总额填报上一年度数据，无上一年度数据的新成立企业可不填报。</w:t>
      </w:r>
    </w:p>
    <w:p>
      <w:pPr>
        <w:adjustRightInd w:val="0"/>
        <w:snapToGrid w:val="0"/>
        <w:spacing w:line="360" w:lineRule="auto"/>
        <w:ind w:firstLine="424" w:firstLineChars="20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（2）本项目所属行业为：其他未列明行业。</w:t>
      </w:r>
    </w:p>
    <w:p>
      <w:pPr>
        <w:pStyle w:val="7"/>
        <w:rPr>
          <w:color w:val="000000" w:themeColor="text1"/>
          <w14:textFill>
            <w14:solidFill>
              <w14:schemeClr w14:val="tx1"/>
            </w14:solidFill>
          </w14:textFill>
        </w:rPr>
      </w:pPr>
    </w:p>
    <w:p>
      <w:pPr>
        <w:pStyle w:val="3"/>
        <w:rPr>
          <w:rFonts w:hAnsi="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pStyle w:val="3"/>
        <w:rPr>
          <w:rFonts w:hAnsi="宋体"/>
          <w:color w:val="000000" w:themeColor="text1"/>
          <w:szCs w:val="21"/>
          <w14:textFill>
            <w14:solidFill>
              <w14:schemeClr w14:val="tx1"/>
            </w14:solidFill>
          </w14:textFill>
        </w:rPr>
      </w:pPr>
    </w:p>
    <w:p>
      <w:pPr>
        <w:pStyle w:val="3"/>
        <w:rPr>
          <w:rFonts w:hAnsi="宋体"/>
          <w:color w:val="000000" w:themeColor="text1"/>
          <w14:textFill>
            <w14:solidFill>
              <w14:schemeClr w14:val="tx1"/>
            </w14:solidFill>
          </w14:textFill>
        </w:rPr>
      </w:pPr>
    </w:p>
    <w:p>
      <w:pPr>
        <w:adjustRightInd w:val="0"/>
        <w:snapToGrid w:val="0"/>
        <w:spacing w:line="360" w:lineRule="auto"/>
        <w:jc w:val="center"/>
        <w:rPr>
          <w:rFonts w:ascii="宋体" w:hAnsi="宋体" w:cs="宋体"/>
          <w:bCs/>
          <w:color w:val="000000" w:themeColor="text1"/>
          <w:spacing w:val="6"/>
          <w:kern w:val="0"/>
          <w:sz w:val="24"/>
          <w14:textFill>
            <w14:solidFill>
              <w14:schemeClr w14:val="tx1"/>
            </w14:solidFill>
          </w14:textFill>
        </w:rPr>
      </w:pPr>
      <w:bookmarkStart w:id="106" w:name="OLE_LINK13"/>
      <w:bookmarkStart w:id="107" w:name="OLE_LINK14"/>
    </w:p>
    <w:p>
      <w:pPr>
        <w:widowControl/>
        <w:jc w:val="center"/>
        <w:rPr>
          <w:b/>
          <w:bCs/>
          <w:color w:val="000000" w:themeColor="text1"/>
          <w:sz w:val="36"/>
          <w:szCs w:val="36"/>
          <w14:textFill>
            <w14:solidFill>
              <w14:schemeClr w14:val="tx1"/>
            </w14:solidFill>
          </w14:textFill>
        </w:rPr>
      </w:pPr>
      <w:r>
        <w:rPr>
          <w:rFonts w:ascii="Helvetica" w:hAnsi="Helvetica" w:eastAsia="Helvetica" w:cs="Helvetica"/>
          <w:b/>
          <w:bCs/>
          <w:color w:val="000000" w:themeColor="text1"/>
          <w:sz w:val="36"/>
          <w:szCs w:val="36"/>
          <w14:textFill>
            <w14:solidFill>
              <w14:schemeClr w14:val="tx1"/>
            </w14:solidFill>
          </w14:textFill>
        </w:rPr>
        <w:t>大中小微型企业划分标准</w:t>
      </w:r>
    </w:p>
    <w:tbl>
      <w:tblPr>
        <w:tblStyle w:val="24"/>
        <w:tblW w:w="9071" w:type="dxa"/>
        <w:jc w:val="center"/>
        <w:shd w:val="clear" w:color="auto" w:fill="FFFFFF"/>
        <w:tblLayout w:type="autofit"/>
        <w:tblCellMar>
          <w:top w:w="15" w:type="dxa"/>
          <w:left w:w="15" w:type="dxa"/>
          <w:bottom w:w="15" w:type="dxa"/>
          <w:right w:w="15" w:type="dxa"/>
        </w:tblCellMar>
      </w:tblPr>
      <w:tblGrid>
        <w:gridCol w:w="1161"/>
        <w:gridCol w:w="1494"/>
        <w:gridCol w:w="797"/>
        <w:gridCol w:w="1227"/>
        <w:gridCol w:w="1705"/>
        <w:gridCol w:w="1582"/>
        <w:gridCol w:w="1105"/>
      </w:tblGrid>
      <w:tr>
        <w:tblPrEx>
          <w:shd w:val="clear" w:color="auto" w:fill="FFFFFF"/>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行业名称</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指标名称</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计量</w:t>
            </w:r>
          </w:p>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单位</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大型</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中型</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小型</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微型</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农、林、牧、渔业</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Y≥20000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500≤Y＜20000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50≤Y＜500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Y＜50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 *</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300≤X＜1000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20≤X＜300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Y≥40000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2000≤Y＜40000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300≤Y＜2000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Y＜300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建筑业</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Y≥80000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6000≤Y＜80000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300≤Y＜6000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Y＜300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资产总额(Z)</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Z≥80000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5000≤Z＜80000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300≤Z＜5000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Z＜300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批发业</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20≤X＜200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5≤X＜20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X＜5</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Y≥40000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5000≤Y＜40000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1000≤Y＜5000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零售业</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50≤X＜300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10≤X＜50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Y≥20000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500≤Y＜20000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100≤Y＜500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交通运输业 *</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300≤X＜1000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20≤X＜300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Y≥30000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3000≤Y＜30000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200≤Y＜3000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Y＜200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仓储业*</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100≤X＜200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20≤X＜100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Y≥30000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1000≤Y＜30000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100≤Y＜1000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邮政业</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300≤X＜1000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20≤X＜300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Y≥30000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2000≤Y＜30000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100≤Y＜2000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住宿业</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10≤X＜100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2000≤Y＜10000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100≤Y＜2000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餐饮业</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10≤X＜100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2000≤Y＜10000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100≤Y＜2000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信息传输业 *</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X≥2000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100≤X＜2000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10≤X＜100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1000≤Y＜100000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100≤Y＜1000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软件和信息技术服务业</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10≤X＜100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1000≤Y＜10000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50≤Y＜1000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Y＜50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房地产开发经营</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Y≥200000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1000≤Y＜200000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100≤Y＜1000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Y＜100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资产总额(Z)</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Z≥10000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5000≤Z＜10000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2000≤Z＜5000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Z＜2000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物业管理</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300≤X＜1000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营业收入(Y)</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Y≥5000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1000≤Y＜5000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500≤Y＜1000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Y＜500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租赁和商务服务业</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10≤X＜100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资产总额(Z)</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万元</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Z≥120000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8000≤Z＜120000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100≤Z＜8000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Z＜100</w:t>
            </w:r>
          </w:p>
        </w:tc>
      </w:tr>
      <w:tr>
        <w:tblPrEx>
          <w:tblCellMar>
            <w:top w:w="15" w:type="dxa"/>
            <w:left w:w="15" w:type="dxa"/>
            <w:bottom w:w="15" w:type="dxa"/>
            <w:right w:w="15" w:type="dxa"/>
          </w:tblCellMar>
        </w:tblPrEx>
        <w:trPr>
          <w:trHeight w:val="23" w:hRule="atLeast"/>
          <w:jc w:val="center"/>
        </w:trPr>
        <w:tc>
          <w:tcPr>
            <w:tcW w:w="1161"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其他未列明行业 *</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从业人员(X)</w:t>
            </w:r>
          </w:p>
        </w:tc>
        <w:tc>
          <w:tcPr>
            <w:tcW w:w="79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X≥300</w:t>
            </w:r>
          </w:p>
        </w:tc>
        <w:tc>
          <w:tcPr>
            <w:tcW w:w="17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100≤X＜300</w:t>
            </w:r>
          </w:p>
        </w:tc>
        <w:tc>
          <w:tcPr>
            <w:tcW w:w="1582"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10≤X＜100</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30" w:type="dxa"/>
              <w:left w:w="150" w:type="dxa"/>
              <w:bottom w:w="30" w:type="dxa"/>
              <w:right w:w="150" w:type="dxa"/>
            </w:tcMar>
            <w:vAlign w:val="center"/>
          </w:tcPr>
          <w:p>
            <w:pPr>
              <w:widowControl/>
              <w:wordWrap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X＜10</w:t>
            </w:r>
          </w:p>
        </w:tc>
      </w:tr>
    </w:tbl>
    <w:p>
      <w:pPr>
        <w:widowControl/>
        <w:shd w:val="clear" w:color="auto" w:fill="FFFFFF"/>
        <w:spacing w:line="288"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shd w:val="clear" w:color="auto" w:fill="FFFFFF"/>
          <w14:textFill>
            <w14:solidFill>
              <w14:schemeClr w14:val="tx1"/>
            </w14:solidFill>
          </w14:textFill>
        </w:rPr>
        <w:t>说明：</w:t>
      </w:r>
    </w:p>
    <w:p>
      <w:pPr>
        <w:widowControl/>
        <w:shd w:val="clear" w:color="auto" w:fill="FFFFFF"/>
        <w:spacing w:line="288"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shd w:val="clear" w:color="auto" w:fill="FFFFFF"/>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spacing w:line="288"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shd w:val="clear" w:color="auto" w:fill="FFFFFF"/>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288" w:lineRule="auto"/>
        <w:ind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shd w:val="clear" w:color="auto" w:fill="FFFFFF"/>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rPr>
          <w:rFonts w:ascii="宋体" w:hAnsi="宋体" w:cs="宋体"/>
          <w:b/>
          <w:color w:val="000000" w:themeColor="text1"/>
          <w:spacing w:val="6"/>
          <w:kern w:val="0"/>
          <w:sz w:val="24"/>
          <w14:textFill>
            <w14:solidFill>
              <w14:schemeClr w14:val="tx1"/>
            </w14:solidFill>
          </w14:textFill>
        </w:rPr>
      </w:pPr>
      <w:r>
        <w:rPr>
          <w:rFonts w:hint="eastAsia" w:ascii="宋体" w:hAnsi="宋体" w:cs="宋体"/>
          <w:b/>
          <w:color w:val="000000" w:themeColor="text1"/>
          <w:spacing w:val="6"/>
          <w:kern w:val="0"/>
          <w:sz w:val="24"/>
          <w14:textFill>
            <w14:solidFill>
              <w14:schemeClr w14:val="tx1"/>
            </w14:solidFill>
          </w14:textFill>
        </w:rPr>
        <w:br w:type="page"/>
      </w:r>
    </w:p>
    <w:p>
      <w:pPr>
        <w:adjustRightInd w:val="0"/>
        <w:snapToGrid w:val="0"/>
        <w:spacing w:line="360" w:lineRule="auto"/>
        <w:jc w:val="center"/>
        <w:rPr>
          <w:rFonts w:ascii="宋体" w:hAnsi="宋体" w:cs="宋体"/>
          <w:b/>
          <w:color w:val="000000" w:themeColor="text1"/>
          <w:spacing w:val="6"/>
          <w:kern w:val="0"/>
          <w:sz w:val="24"/>
          <w14:textFill>
            <w14:solidFill>
              <w14:schemeClr w14:val="tx1"/>
            </w14:solidFill>
          </w14:textFill>
        </w:rPr>
      </w:pPr>
      <w:r>
        <w:rPr>
          <w:rFonts w:hint="eastAsia" w:ascii="宋体" w:hAnsi="宋体" w:cs="宋体"/>
          <w:b/>
          <w:color w:val="000000" w:themeColor="text1"/>
          <w:spacing w:val="6"/>
          <w:kern w:val="0"/>
          <w:sz w:val="24"/>
          <w14:textFill>
            <w14:solidFill>
              <w14:schemeClr w14:val="tx1"/>
            </w14:solidFill>
          </w14:textFill>
        </w:rPr>
        <w:t>2、残疾人福利性单位声明函</w:t>
      </w:r>
    </w:p>
    <w:bookmarkEnd w:id="106"/>
    <w:bookmarkEnd w:id="107"/>
    <w:p>
      <w:pPr>
        <w:spacing w:line="588" w:lineRule="exact"/>
        <w:rPr>
          <w:rFonts w:ascii="宋体" w:hAnsi="宋体" w:cs="宋体"/>
          <w:b/>
          <w:color w:val="000000" w:themeColor="text1"/>
          <w:spacing w:val="6"/>
          <w:sz w:val="30"/>
          <w:szCs w:val="30"/>
          <w14:textFill>
            <w14:solidFill>
              <w14:schemeClr w14:val="tx1"/>
            </w14:solidFill>
          </w14:textFill>
        </w:rPr>
      </w:pPr>
    </w:p>
    <w:p>
      <w:pPr>
        <w:spacing w:line="360" w:lineRule="auto"/>
        <w:ind w:firstLine="448"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14:textFill>
            <w14:solidFill>
              <w14:schemeClr w14:val="tx1"/>
            </w14:solidFill>
          </w14:textFill>
        </w:rPr>
        <w:t>〔2017〕 141</w:t>
      </w:r>
      <w:r>
        <w:rPr>
          <w:rFonts w:hint="eastAsia" w:ascii="宋体" w:hAnsi="宋体" w:cs="宋体"/>
          <w:color w:val="000000" w:themeColor="text1"/>
          <w:spacing w:val="6"/>
          <w:szCs w:val="21"/>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48"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本单位对上述声明的真实性负责。如有虚假，将依法承担相应责任。</w:t>
      </w:r>
    </w:p>
    <w:p>
      <w:pPr>
        <w:spacing w:line="360" w:lineRule="auto"/>
        <w:ind w:firstLine="448" w:firstLineChars="200"/>
        <w:rPr>
          <w:rFonts w:ascii="宋体" w:hAnsi="宋体" w:cs="宋体"/>
          <w:color w:val="000000" w:themeColor="text1"/>
          <w:spacing w:val="6"/>
          <w:szCs w:val="21"/>
          <w14:textFill>
            <w14:solidFill>
              <w14:schemeClr w14:val="tx1"/>
            </w14:solidFill>
          </w14:textFill>
        </w:rPr>
      </w:pPr>
    </w:p>
    <w:p>
      <w:pPr>
        <w:spacing w:line="360" w:lineRule="auto"/>
        <w:ind w:firstLine="448" w:firstLineChars="200"/>
        <w:rPr>
          <w:rFonts w:ascii="宋体" w:hAnsi="宋体" w:cs="宋体"/>
          <w:color w:val="000000" w:themeColor="text1"/>
          <w:spacing w:val="6"/>
          <w:szCs w:val="21"/>
          <w14:textFill>
            <w14:solidFill>
              <w14:schemeClr w14:val="tx1"/>
            </w14:solidFill>
          </w14:textFill>
        </w:rPr>
      </w:pPr>
    </w:p>
    <w:p>
      <w:pPr>
        <w:tabs>
          <w:tab w:val="left" w:pos="4860"/>
        </w:tabs>
        <w:spacing w:line="360" w:lineRule="auto"/>
        <w:ind w:firstLine="448"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               单位名称（盖章）：</w:t>
      </w:r>
    </w:p>
    <w:p>
      <w:pPr>
        <w:tabs>
          <w:tab w:val="left" w:pos="4860"/>
        </w:tabs>
        <w:spacing w:line="360" w:lineRule="auto"/>
        <w:ind w:firstLine="448"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       日  期：</w:t>
      </w:r>
    </w:p>
    <w:p>
      <w:pPr>
        <w:adjustRightInd w:val="0"/>
        <w:snapToGrid w:val="0"/>
        <w:spacing w:line="360" w:lineRule="auto"/>
        <w:jc w:val="center"/>
        <w:rPr>
          <w:rFonts w:ascii="宋体" w:hAnsi="宋体" w:cs="宋体"/>
          <w:color w:val="000000" w:themeColor="text1"/>
          <w:sz w:val="24"/>
          <w14:textFill>
            <w14:solidFill>
              <w14:schemeClr w14:val="tx1"/>
            </w14:solidFill>
          </w14:textFill>
        </w:rPr>
      </w:pPr>
    </w:p>
    <w:p>
      <w:pPr>
        <w:adjustRightInd w:val="0"/>
        <w:snapToGrid w:val="0"/>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（六）招标文件规定的其他资格条件证明文件</w:t>
      </w:r>
    </w:p>
    <w:p>
      <w:pPr>
        <w:adjustRightInd w:val="0"/>
        <w:snapToGrid w:val="0"/>
        <w:spacing w:line="360" w:lineRule="auto"/>
        <w:jc w:val="center"/>
        <w:rPr>
          <w:rFonts w:ascii="宋体" w:hAnsi="宋体" w:cs="宋体"/>
          <w:b/>
          <w:color w:val="000000" w:themeColor="text1"/>
          <w:szCs w:val="21"/>
          <w14:textFill>
            <w14:solidFill>
              <w14:schemeClr w14:val="tx1"/>
            </w14:solidFill>
          </w14:textFill>
        </w:rPr>
      </w:pPr>
    </w:p>
    <w:p>
      <w:pPr>
        <w:adjustRightInd w:val="0"/>
        <w:snapToGrid w:val="0"/>
        <w:spacing w:beforeLines="50" w:line="360" w:lineRule="auto"/>
        <w:rPr>
          <w:rFonts w:ascii="宋体" w:hAnsi="宋体" w:cs="宋体"/>
          <w:color w:val="000000" w:themeColor="text1"/>
          <w:szCs w:val="21"/>
          <w14:textFill>
            <w14:solidFill>
              <w14:schemeClr w14:val="tx1"/>
            </w14:solidFill>
          </w14:textFill>
        </w:rPr>
      </w:pPr>
      <w:bookmarkStart w:id="108" w:name="_Toc25309"/>
      <w:bookmarkStart w:id="109" w:name="_Toc6115"/>
      <w:bookmarkStart w:id="110" w:name="_Toc30274"/>
      <w:bookmarkStart w:id="111" w:name="_Toc25064"/>
      <w:bookmarkStart w:id="112" w:name="_Toc21441"/>
      <w:r>
        <w:rPr>
          <w:rFonts w:hint="eastAsia" w:ascii="宋体" w:hAnsi="宋体" w:cs="宋体"/>
          <w:b/>
          <w:color w:val="000000" w:themeColor="text1"/>
          <w:szCs w:val="21"/>
          <w14:textFill>
            <w14:solidFill>
              <w14:schemeClr w14:val="tx1"/>
            </w14:solidFill>
          </w14:textFill>
        </w:rPr>
        <w:t>备注</w:t>
      </w:r>
      <w:r>
        <w:rPr>
          <w:rFonts w:hint="eastAsia" w:ascii="宋体" w:hAnsi="宋体" w:cs="宋体"/>
          <w:color w:val="000000" w:themeColor="text1"/>
          <w:szCs w:val="21"/>
          <w14:textFill>
            <w14:solidFill>
              <w14:schemeClr w14:val="tx1"/>
            </w14:solidFill>
          </w14:textFill>
        </w:rPr>
        <w:t>：提供第三章“投标须知”第3.1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s="宋体"/>
          <w:color w:val="000000" w:themeColor="text1"/>
          <w:szCs w:val="21"/>
          <w14:textFill>
            <w14:solidFill>
              <w14:schemeClr w14:val="tx1"/>
            </w14:solidFill>
          </w14:textFill>
        </w:rPr>
        <w:t>规定的证明材料的扫描件和招标文件要求的资证明。</w:t>
      </w:r>
      <w:bookmarkEnd w:id="108"/>
      <w:bookmarkEnd w:id="109"/>
      <w:bookmarkEnd w:id="110"/>
      <w:bookmarkEnd w:id="111"/>
      <w:bookmarkEnd w:id="112"/>
    </w:p>
    <w:p>
      <w:pPr>
        <w:adjustRightInd w:val="0"/>
        <w:snapToGrid w:val="0"/>
        <w:spacing w:beforeLines="50" w:line="360" w:lineRule="auto"/>
        <w:outlineLvl w:val="0"/>
        <w:rPr>
          <w:rFonts w:ascii="宋体" w:hAnsi="宋体" w:cs="宋体"/>
          <w:color w:val="000000" w:themeColor="text1"/>
          <w:szCs w:val="21"/>
          <w14:textFill>
            <w14:solidFill>
              <w14:schemeClr w14:val="tx1"/>
            </w14:solidFill>
          </w14:textFill>
        </w:rPr>
      </w:pPr>
    </w:p>
    <w:p>
      <w:pPr>
        <w:adjustRightInd w:val="0"/>
        <w:snapToGrid w:val="0"/>
        <w:spacing w:line="360" w:lineRule="auto"/>
        <w:jc w:val="center"/>
        <w:rPr>
          <w:rFonts w:ascii="黑体" w:hAnsi="宋体" w:eastAsia="黑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十、</w:t>
      </w:r>
      <w:r>
        <w:rPr>
          <w:rFonts w:hint="eastAsia" w:ascii="黑体" w:hAnsi="宋体" w:eastAsia="黑体"/>
          <w:b/>
          <w:bCs/>
          <w:color w:val="000000" w:themeColor="text1"/>
          <w:sz w:val="28"/>
          <w:szCs w:val="28"/>
          <w14:textFill>
            <w14:solidFill>
              <w14:schemeClr w14:val="tx1"/>
            </w14:solidFill>
          </w14:textFill>
        </w:rPr>
        <w:t>服务方案</w:t>
      </w:r>
    </w:p>
    <w:p>
      <w:pPr>
        <w:adjustRightInd w:val="0"/>
        <w:snapToGrid w:val="0"/>
        <w:spacing w:line="360" w:lineRule="auto"/>
        <w:jc w:val="center"/>
        <w:rPr>
          <w:rFonts w:ascii="黑体" w:hAnsi="宋体" w:eastAsia="黑体"/>
          <w:color w:val="000000" w:themeColor="text1"/>
          <w:szCs w:val="21"/>
          <w14:textFill>
            <w14:solidFill>
              <w14:schemeClr w14:val="tx1"/>
            </w14:solidFill>
          </w14:textFill>
        </w:rPr>
      </w:pPr>
    </w:p>
    <w:p>
      <w:pPr>
        <w:adjustRightInd w:val="0"/>
        <w:snapToGrid w:val="0"/>
        <w:spacing w:beforeLines="50" w:line="360" w:lineRule="auto"/>
        <w:rPr>
          <w:rFonts w:ascii="??_GB2312" w:hAnsi="宋体" w:eastAsia="Times New Roman"/>
          <w:color w:val="000000" w:themeColor="text1"/>
          <w:szCs w:val="21"/>
          <w14:textFill>
            <w14:solidFill>
              <w14:schemeClr w14:val="tx1"/>
            </w14:solidFill>
          </w14:textFill>
        </w:rPr>
      </w:pPr>
      <w:bookmarkStart w:id="113" w:name="_Toc18603"/>
      <w:bookmarkStart w:id="114" w:name="_Toc22345"/>
      <w:bookmarkStart w:id="115" w:name="_Toc15039"/>
      <w:bookmarkStart w:id="116" w:name="_Toc2425"/>
      <w:bookmarkStart w:id="117" w:name="_Toc19217"/>
      <w:bookmarkStart w:id="118" w:name="_Toc27955"/>
      <w:r>
        <w:rPr>
          <w:rFonts w:ascii="??_GB2312" w:hAnsi="宋体" w:eastAsia="Times New Roman"/>
          <w:b/>
          <w:color w:val="000000" w:themeColor="text1"/>
          <w:szCs w:val="21"/>
          <w14:textFill>
            <w14:solidFill>
              <w14:schemeClr w14:val="tx1"/>
            </w14:solidFill>
          </w14:textFill>
        </w:rPr>
        <w:t>备注</w:t>
      </w:r>
      <w:r>
        <w:rPr>
          <w:rFonts w:ascii="??_GB2312" w:hAnsi="宋体" w:eastAsia="Times New Roman"/>
          <w:color w:val="000000" w:themeColor="text1"/>
          <w:szCs w:val="21"/>
          <w14:textFill>
            <w14:solidFill>
              <w14:schemeClr w14:val="tx1"/>
            </w14:solidFill>
          </w14:textFill>
        </w:rPr>
        <w:t>：</w:t>
      </w:r>
      <w:bookmarkEnd w:id="113"/>
      <w:bookmarkEnd w:id="114"/>
      <w:bookmarkEnd w:id="115"/>
      <w:bookmarkEnd w:id="116"/>
      <w:bookmarkEnd w:id="117"/>
      <w:bookmarkEnd w:id="118"/>
    </w:p>
    <w:p>
      <w:pPr>
        <w:numPr>
          <w:ilvl w:val="0"/>
          <w:numId w:val="7"/>
        </w:numPr>
        <w:adjustRightInd w:val="0"/>
        <w:snapToGrid w:val="0"/>
        <w:spacing w:beforeLines="50" w:line="360" w:lineRule="auto"/>
        <w:rPr>
          <w:rFonts w:ascii="宋体" w:hAnsi="宋体" w:cs="宋体"/>
          <w:color w:val="000000" w:themeColor="text1"/>
          <w:szCs w:val="21"/>
          <w14:textFill>
            <w14:solidFill>
              <w14:schemeClr w14:val="tx1"/>
            </w14:solidFill>
          </w14:textFill>
        </w:rPr>
      </w:pPr>
      <w:bookmarkStart w:id="119" w:name="_Toc16027"/>
      <w:bookmarkStart w:id="120" w:name="_Toc8222"/>
      <w:r>
        <w:rPr>
          <w:rFonts w:hint="eastAsia" w:ascii="宋体" w:hAnsi="宋体" w:cs="宋体"/>
          <w:color w:val="000000" w:themeColor="text1"/>
          <w:szCs w:val="21"/>
          <w14:textFill>
            <w14:solidFill>
              <w14:schemeClr w14:val="tx1"/>
            </w14:solidFill>
          </w14:textFill>
        </w:rPr>
        <w:t>提供</w:t>
      </w:r>
      <w:bookmarkEnd w:id="119"/>
      <w:bookmarkEnd w:id="120"/>
      <w:r>
        <w:rPr>
          <w:rFonts w:hint="eastAsia" w:ascii="宋体" w:hAnsi="宋体" w:cs="宋体"/>
          <w:color w:val="000000" w:themeColor="text1"/>
          <w:szCs w:val="21"/>
          <w14:textFill>
            <w14:solidFill>
              <w14:schemeClr w14:val="tx1"/>
            </w14:solidFill>
          </w14:textFill>
        </w:rPr>
        <w:t>第六章“采购需求”规定的服务</w:t>
      </w:r>
      <w:r>
        <w:rPr>
          <w:rFonts w:hint="eastAsia" w:ascii="宋体" w:hAnsi="宋体" w:cs="宋体"/>
          <w:color w:val="000000" w:themeColor="text1"/>
          <w14:textFill>
            <w14:solidFill>
              <w14:schemeClr w14:val="tx1"/>
            </w14:solidFill>
          </w14:textFill>
        </w:rPr>
        <w:t>相关技术</w:t>
      </w:r>
      <w:r>
        <w:rPr>
          <w:rFonts w:hint="eastAsia" w:ascii="宋体" w:hAnsi="宋体" w:cs="宋体"/>
          <w:color w:val="000000" w:themeColor="text1"/>
          <w:szCs w:val="21"/>
          <w14:textFill>
            <w14:solidFill>
              <w14:schemeClr w14:val="tx1"/>
            </w14:solidFill>
          </w14:textFill>
        </w:rPr>
        <w:t>证明材料（如有）。</w:t>
      </w:r>
    </w:p>
    <w:p>
      <w:pPr>
        <w:rPr>
          <w:rFonts w:ascii="宋体" w:hAnsi="宋体" w:cs="宋体"/>
          <w:b/>
          <w:bCs/>
          <w:color w:val="000000" w:themeColor="text1"/>
          <w14:textFill>
            <w14:solidFill>
              <w14:schemeClr w14:val="tx1"/>
            </w14:solidFill>
          </w14:textFill>
        </w:rPr>
      </w:pPr>
      <w:bookmarkStart w:id="121" w:name="_Toc23231"/>
      <w:bookmarkStart w:id="122" w:name="_Toc6033"/>
      <w:r>
        <w:rPr>
          <w:rFonts w:hint="eastAsia" w:ascii="宋体" w:hAnsi="宋体" w:cs="宋体"/>
          <w:color w:val="000000" w:themeColor="text1"/>
          <w:szCs w:val="21"/>
          <w14:textFill>
            <w14:solidFill>
              <w14:schemeClr w14:val="tx1"/>
            </w14:solidFill>
          </w14:textFill>
        </w:rPr>
        <w:t>2、按磋商文件中要求提供技术、项目实施、服务等方案。</w:t>
      </w:r>
      <w:bookmarkEnd w:id="121"/>
      <w:bookmarkEnd w:id="122"/>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承担委托检测任务拟派审核人员名单</w:t>
      </w:r>
    </w:p>
    <w:p>
      <w:pPr>
        <w:pStyle w:val="5"/>
        <w:rPr>
          <w:color w:val="000000" w:themeColor="text1"/>
          <w14:textFill>
            <w14:solidFill>
              <w14:schemeClr w14:val="tx1"/>
            </w14:solidFill>
          </w14:textFill>
        </w:rPr>
      </w:pPr>
    </w:p>
    <w:tbl>
      <w:tblPr>
        <w:tblStyle w:val="25"/>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012"/>
        <w:gridCol w:w="1900"/>
        <w:gridCol w:w="1688"/>
        <w:gridCol w:w="1450"/>
        <w:gridCol w:w="1120"/>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t>序号</w:t>
            </w:r>
          </w:p>
        </w:tc>
        <w:tc>
          <w:tcPr>
            <w:tcW w:w="1012"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t>姓名</w:t>
            </w:r>
          </w:p>
        </w:tc>
        <w:tc>
          <w:tcPr>
            <w:tcW w:w="190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t>身份证号</w:t>
            </w:r>
          </w:p>
        </w:tc>
        <w:tc>
          <w:tcPr>
            <w:tcW w:w="1688"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t>拟任职务</w:t>
            </w:r>
          </w:p>
        </w:tc>
        <w:tc>
          <w:tcPr>
            <w:tcW w:w="145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t>注册资格</w:t>
            </w:r>
          </w:p>
        </w:tc>
        <w:tc>
          <w:tcPr>
            <w:tcW w:w="112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t>专业</w:t>
            </w:r>
          </w:p>
        </w:tc>
        <w:tc>
          <w:tcPr>
            <w:tcW w:w="1311"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012"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90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688"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45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12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311"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012"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90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688"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45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12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311"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012"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90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688"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45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12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311"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012"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90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688"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45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12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311"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012"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90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688"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45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12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311"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012"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90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688"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45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12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311"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012"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90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688"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45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120"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311" w:type="dxa"/>
            <w:vAlign w:val="center"/>
          </w:tcPr>
          <w:p>
            <w:pPr>
              <w:pStyle w:val="5"/>
              <w:jc w:val="center"/>
              <w:outlineLvl w:val="1"/>
              <w:rPr>
                <w:rFonts w:asciiTheme="majorEastAsia" w:hAnsiTheme="majorEastAsia" w:eastAsiaTheme="majorEastAsia" w:cstheme="majorEastAsia"/>
                <w:b w:val="0"/>
                <w:bCs w:val="0"/>
                <w:color w:val="000000" w:themeColor="text1"/>
                <w:sz w:val="21"/>
                <w:szCs w:val="21"/>
                <w14:textFill>
                  <w14:solidFill>
                    <w14:schemeClr w14:val="tx1"/>
                  </w14:solidFill>
                </w14:textFill>
              </w:rPr>
            </w:pPr>
          </w:p>
        </w:tc>
      </w:tr>
    </w:tbl>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43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投标人(盖章)：</w:t>
      </w:r>
    </w:p>
    <w:p>
      <w:pPr>
        <w:spacing w:line="432"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授权委托人签字：</w:t>
      </w:r>
      <w:r>
        <w:rPr>
          <w:rFonts w:hint="eastAsia" w:ascii="宋体" w:hAnsi="宋体"/>
          <w:color w:val="000000" w:themeColor="text1"/>
          <w:szCs w:val="21"/>
          <w:u w:val="single"/>
          <w14:textFill>
            <w14:solidFill>
              <w14:schemeClr w14:val="tx1"/>
            </w14:solidFill>
          </w14:textFill>
        </w:rPr>
        <w:t xml:space="preserve">                          </w:t>
      </w:r>
    </w:p>
    <w:p>
      <w:pPr>
        <w:spacing w:line="360" w:lineRule="auto"/>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pStyle w:val="5"/>
        <w:rPr>
          <w:color w:val="000000" w:themeColor="text1"/>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承担委托检测任务项目负责人简历表</w:t>
      </w:r>
    </w:p>
    <w:p>
      <w:pPr>
        <w:jc w:val="center"/>
        <w:rPr>
          <w:rFonts w:ascii="宋体" w:hAnsi="宋体"/>
          <w:b/>
          <w:bCs/>
          <w:color w:val="000000" w:themeColor="text1"/>
          <w:sz w:val="28"/>
          <w:szCs w:val="28"/>
          <w14:textFill>
            <w14:solidFill>
              <w14:schemeClr w14:val="tx1"/>
            </w14:solidFill>
          </w14:textFill>
        </w:rPr>
      </w:pP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745"/>
        <w:gridCol w:w="968"/>
        <w:gridCol w:w="1244"/>
        <w:gridCol w:w="1769"/>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8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p>
        </w:tc>
        <w:tc>
          <w:tcPr>
            <w:tcW w:w="1745" w:type="dxa"/>
            <w:vAlign w:val="center"/>
          </w:tcPr>
          <w:p>
            <w:pPr>
              <w:jc w:val="center"/>
              <w:rPr>
                <w:rFonts w:ascii="宋体" w:hAnsi="宋体"/>
                <w:color w:val="000000" w:themeColor="text1"/>
                <w:szCs w:val="21"/>
                <w14:textFill>
                  <w14:solidFill>
                    <w14:schemeClr w14:val="tx1"/>
                  </w14:solidFill>
                </w14:textFill>
              </w:rPr>
            </w:pPr>
          </w:p>
        </w:tc>
        <w:tc>
          <w:tcPr>
            <w:tcW w:w="96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性别</w:t>
            </w:r>
          </w:p>
        </w:tc>
        <w:tc>
          <w:tcPr>
            <w:tcW w:w="1244" w:type="dxa"/>
            <w:vAlign w:val="center"/>
          </w:tcPr>
          <w:p>
            <w:pPr>
              <w:jc w:val="center"/>
              <w:rPr>
                <w:rFonts w:ascii="宋体" w:hAnsi="宋体"/>
                <w:color w:val="000000" w:themeColor="text1"/>
                <w:szCs w:val="21"/>
                <w14:textFill>
                  <w14:solidFill>
                    <w14:schemeClr w14:val="tx1"/>
                  </w14:solidFill>
                </w14:textFill>
              </w:rPr>
            </w:pPr>
          </w:p>
        </w:tc>
        <w:tc>
          <w:tcPr>
            <w:tcW w:w="176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工作时间</w:t>
            </w:r>
          </w:p>
        </w:tc>
        <w:tc>
          <w:tcPr>
            <w:tcW w:w="1521" w:type="dxa"/>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8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毕业院校及专业</w:t>
            </w:r>
          </w:p>
        </w:tc>
        <w:tc>
          <w:tcPr>
            <w:tcW w:w="1745" w:type="dxa"/>
            <w:vAlign w:val="center"/>
          </w:tcPr>
          <w:p>
            <w:pPr>
              <w:jc w:val="center"/>
              <w:rPr>
                <w:rFonts w:ascii="宋体" w:hAnsi="宋体"/>
                <w:color w:val="000000" w:themeColor="text1"/>
                <w:szCs w:val="21"/>
                <w14:textFill>
                  <w14:solidFill>
                    <w14:schemeClr w14:val="tx1"/>
                  </w14:solidFill>
                </w14:textFill>
              </w:rPr>
            </w:pPr>
          </w:p>
        </w:tc>
        <w:tc>
          <w:tcPr>
            <w:tcW w:w="96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学历</w:t>
            </w:r>
          </w:p>
        </w:tc>
        <w:tc>
          <w:tcPr>
            <w:tcW w:w="1244" w:type="dxa"/>
            <w:vAlign w:val="center"/>
          </w:tcPr>
          <w:p>
            <w:pPr>
              <w:jc w:val="center"/>
              <w:rPr>
                <w:rFonts w:ascii="宋体" w:hAnsi="宋体"/>
                <w:color w:val="000000" w:themeColor="text1"/>
                <w:szCs w:val="21"/>
                <w14:textFill>
                  <w14:solidFill>
                    <w14:schemeClr w14:val="tx1"/>
                  </w14:solidFill>
                </w14:textFill>
              </w:rPr>
            </w:pPr>
          </w:p>
        </w:tc>
        <w:tc>
          <w:tcPr>
            <w:tcW w:w="176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从事本专业时间</w:t>
            </w:r>
          </w:p>
        </w:tc>
        <w:tc>
          <w:tcPr>
            <w:tcW w:w="1521" w:type="dxa"/>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8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执业资格</w:t>
            </w:r>
          </w:p>
        </w:tc>
        <w:tc>
          <w:tcPr>
            <w:tcW w:w="1745" w:type="dxa"/>
            <w:vAlign w:val="center"/>
          </w:tcPr>
          <w:p>
            <w:pPr>
              <w:rPr>
                <w:rFonts w:ascii="宋体" w:hAnsi="宋体"/>
                <w:color w:val="000000" w:themeColor="text1"/>
                <w:szCs w:val="21"/>
                <w14:textFill>
                  <w14:solidFill>
                    <w14:schemeClr w14:val="tx1"/>
                  </w14:solidFill>
                </w14:textFill>
              </w:rPr>
            </w:pPr>
          </w:p>
        </w:tc>
        <w:tc>
          <w:tcPr>
            <w:tcW w:w="96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执业资格专业</w:t>
            </w:r>
          </w:p>
        </w:tc>
        <w:tc>
          <w:tcPr>
            <w:tcW w:w="1244" w:type="dxa"/>
            <w:vAlign w:val="center"/>
          </w:tcPr>
          <w:p>
            <w:pPr>
              <w:jc w:val="center"/>
              <w:rPr>
                <w:rFonts w:ascii="宋体" w:hAnsi="宋体"/>
                <w:color w:val="000000" w:themeColor="text1"/>
                <w:szCs w:val="21"/>
                <w14:textFill>
                  <w14:solidFill>
                    <w14:schemeClr w14:val="tx1"/>
                  </w14:solidFill>
                </w14:textFill>
              </w:rPr>
            </w:pPr>
          </w:p>
        </w:tc>
        <w:tc>
          <w:tcPr>
            <w:tcW w:w="176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职称</w:t>
            </w:r>
          </w:p>
        </w:tc>
        <w:tc>
          <w:tcPr>
            <w:tcW w:w="1521" w:type="dxa"/>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9071" w:type="dxa"/>
            <w:gridSpan w:val="6"/>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bl>
    <w:p>
      <w:pPr>
        <w:pStyle w:val="3"/>
        <w:rPr>
          <w:color w:val="000000" w:themeColor="text1"/>
          <w14:textFill>
            <w14:solidFill>
              <w14:schemeClr w14:val="tx1"/>
            </w14:solidFill>
          </w14:textFill>
        </w:rPr>
      </w:pPr>
    </w:p>
    <w:p>
      <w:pPr>
        <w:spacing w:line="43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投标人(盖章)：</w:t>
      </w:r>
    </w:p>
    <w:p>
      <w:pPr>
        <w:spacing w:line="432"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授权委托人签字：</w:t>
      </w:r>
      <w:r>
        <w:rPr>
          <w:rFonts w:hint="eastAsia" w:ascii="宋体" w:hAnsi="宋体"/>
          <w:color w:val="000000" w:themeColor="text1"/>
          <w:szCs w:val="21"/>
          <w:u w:val="single"/>
          <w14:textFill>
            <w14:solidFill>
              <w14:schemeClr w14:val="tx1"/>
            </w14:solidFill>
          </w14:textFill>
        </w:rPr>
        <w:t xml:space="preserve">                          </w:t>
      </w:r>
    </w:p>
    <w:p>
      <w:pPr>
        <w:spacing w:line="360" w:lineRule="auto"/>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p>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承担检测业务人员简历表</w:t>
      </w:r>
    </w:p>
    <w:p>
      <w:pPr>
        <w:jc w:val="center"/>
        <w:rPr>
          <w:rFonts w:ascii="宋体" w:hAnsi="宋体"/>
          <w:b/>
          <w:bCs/>
          <w:color w:val="000000" w:themeColor="text1"/>
          <w:sz w:val="28"/>
          <w:szCs w:val="28"/>
          <w14:textFill>
            <w14:solidFill>
              <w14:schemeClr w14:val="tx1"/>
            </w14:solidFill>
          </w14:textFill>
        </w:rPr>
      </w:pPr>
    </w:p>
    <w:tbl>
      <w:tblPr>
        <w:tblStyle w:val="2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753"/>
        <w:gridCol w:w="959"/>
        <w:gridCol w:w="1356"/>
        <w:gridCol w:w="176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1" w:hRule="atLeast"/>
          <w:jc w:val="center"/>
        </w:trPr>
        <w:tc>
          <w:tcPr>
            <w:tcW w:w="18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p>
        </w:tc>
        <w:tc>
          <w:tcPr>
            <w:tcW w:w="1754" w:type="dxa"/>
            <w:vAlign w:val="center"/>
          </w:tcPr>
          <w:p>
            <w:pPr>
              <w:jc w:val="center"/>
              <w:rPr>
                <w:rFonts w:ascii="宋体" w:hAnsi="宋体"/>
                <w:color w:val="000000" w:themeColor="text1"/>
                <w:szCs w:val="21"/>
                <w14:textFill>
                  <w14:solidFill>
                    <w14:schemeClr w14:val="tx1"/>
                  </w14:solidFill>
                </w14:textFill>
              </w:rPr>
            </w:pPr>
          </w:p>
        </w:tc>
        <w:tc>
          <w:tcPr>
            <w:tcW w:w="9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性别</w:t>
            </w:r>
          </w:p>
        </w:tc>
        <w:tc>
          <w:tcPr>
            <w:tcW w:w="1352" w:type="dxa"/>
            <w:vAlign w:val="center"/>
          </w:tcPr>
          <w:p>
            <w:pPr>
              <w:jc w:val="center"/>
              <w:rPr>
                <w:rFonts w:ascii="宋体" w:hAnsi="宋体"/>
                <w:color w:val="000000" w:themeColor="text1"/>
                <w:szCs w:val="21"/>
                <w14:textFill>
                  <w14:solidFill>
                    <w14:schemeClr w14:val="tx1"/>
                  </w14:solidFill>
                </w14:textFill>
              </w:rPr>
            </w:pPr>
          </w:p>
        </w:tc>
        <w:tc>
          <w:tcPr>
            <w:tcW w:w="176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工作时间</w:t>
            </w:r>
          </w:p>
        </w:tc>
        <w:tc>
          <w:tcPr>
            <w:tcW w:w="1418" w:type="dxa"/>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8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毕业院校及专业</w:t>
            </w:r>
          </w:p>
        </w:tc>
        <w:tc>
          <w:tcPr>
            <w:tcW w:w="1754" w:type="dxa"/>
            <w:vAlign w:val="center"/>
          </w:tcPr>
          <w:p>
            <w:pPr>
              <w:jc w:val="center"/>
              <w:rPr>
                <w:rFonts w:ascii="宋体" w:hAnsi="宋体"/>
                <w:color w:val="000000" w:themeColor="text1"/>
                <w:szCs w:val="21"/>
                <w14:textFill>
                  <w14:solidFill>
                    <w14:schemeClr w14:val="tx1"/>
                  </w14:solidFill>
                </w14:textFill>
              </w:rPr>
            </w:pPr>
          </w:p>
        </w:tc>
        <w:tc>
          <w:tcPr>
            <w:tcW w:w="9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学历</w:t>
            </w:r>
          </w:p>
        </w:tc>
        <w:tc>
          <w:tcPr>
            <w:tcW w:w="1352" w:type="dxa"/>
            <w:vAlign w:val="center"/>
          </w:tcPr>
          <w:p>
            <w:pPr>
              <w:jc w:val="center"/>
              <w:rPr>
                <w:rFonts w:ascii="宋体" w:hAnsi="宋体"/>
                <w:color w:val="000000" w:themeColor="text1"/>
                <w:szCs w:val="21"/>
                <w14:textFill>
                  <w14:solidFill>
                    <w14:schemeClr w14:val="tx1"/>
                  </w14:solidFill>
                </w14:textFill>
              </w:rPr>
            </w:pPr>
          </w:p>
        </w:tc>
        <w:tc>
          <w:tcPr>
            <w:tcW w:w="176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从事本专业时间</w:t>
            </w:r>
          </w:p>
        </w:tc>
        <w:tc>
          <w:tcPr>
            <w:tcW w:w="1418" w:type="dxa"/>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8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执业资格</w:t>
            </w:r>
          </w:p>
        </w:tc>
        <w:tc>
          <w:tcPr>
            <w:tcW w:w="1754" w:type="dxa"/>
            <w:vAlign w:val="center"/>
          </w:tcPr>
          <w:p>
            <w:pPr>
              <w:rPr>
                <w:rFonts w:ascii="宋体" w:hAnsi="宋体"/>
                <w:color w:val="000000" w:themeColor="text1"/>
                <w:szCs w:val="21"/>
                <w14:textFill>
                  <w14:solidFill>
                    <w14:schemeClr w14:val="tx1"/>
                  </w14:solidFill>
                </w14:textFill>
              </w:rPr>
            </w:pPr>
          </w:p>
        </w:tc>
        <w:tc>
          <w:tcPr>
            <w:tcW w:w="9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执业资格专业</w:t>
            </w:r>
          </w:p>
        </w:tc>
        <w:tc>
          <w:tcPr>
            <w:tcW w:w="1357" w:type="dxa"/>
            <w:vAlign w:val="center"/>
          </w:tcPr>
          <w:p>
            <w:pPr>
              <w:jc w:val="center"/>
              <w:rPr>
                <w:rFonts w:ascii="宋体" w:hAnsi="宋体"/>
                <w:color w:val="000000" w:themeColor="text1"/>
                <w:szCs w:val="21"/>
                <w14:textFill>
                  <w14:solidFill>
                    <w14:schemeClr w14:val="tx1"/>
                  </w14:solidFill>
                </w14:textFill>
              </w:rPr>
            </w:pPr>
          </w:p>
        </w:tc>
        <w:tc>
          <w:tcPr>
            <w:tcW w:w="175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职称</w:t>
            </w:r>
          </w:p>
        </w:tc>
        <w:tc>
          <w:tcPr>
            <w:tcW w:w="1418" w:type="dxa"/>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9071" w:type="dxa"/>
            <w:gridSpan w:val="6"/>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bl>
    <w:p>
      <w:pPr>
        <w:spacing w:line="432" w:lineRule="auto"/>
        <w:rPr>
          <w:rFonts w:ascii="宋体" w:hAnsi="宋体"/>
          <w:color w:val="000000" w:themeColor="text1"/>
          <w:szCs w:val="21"/>
          <w14:textFill>
            <w14:solidFill>
              <w14:schemeClr w14:val="tx1"/>
            </w14:solidFill>
          </w14:textFill>
        </w:rPr>
      </w:pPr>
    </w:p>
    <w:p>
      <w:pPr>
        <w:spacing w:line="43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投标人(盖章)：</w:t>
      </w:r>
    </w:p>
    <w:p>
      <w:pPr>
        <w:spacing w:line="432"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授权委托人签字：</w:t>
      </w:r>
      <w:r>
        <w:rPr>
          <w:rFonts w:hint="eastAsia" w:ascii="宋体" w:hAnsi="宋体"/>
          <w:color w:val="000000" w:themeColor="text1"/>
          <w:szCs w:val="21"/>
          <w:u w:val="single"/>
          <w14:textFill>
            <w14:solidFill>
              <w14:schemeClr w14:val="tx1"/>
            </w14:solidFill>
          </w14:textFill>
        </w:rPr>
        <w:t xml:space="preserve">                          </w:t>
      </w:r>
    </w:p>
    <w:p>
      <w:pPr>
        <w:spacing w:line="360" w:lineRule="auto"/>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pStyle w:val="3"/>
        <w:ind w:left="0"/>
        <w:rPr>
          <w:rFonts w:hAnsi="宋体"/>
          <w:b/>
          <w:bCs/>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br w:type="page"/>
      </w:r>
    </w:p>
    <w:bookmarkEnd w:id="53"/>
    <w:p>
      <w:pPr>
        <w:pStyle w:val="4"/>
        <w:numPr>
          <w:ilvl w:val="0"/>
          <w:numId w:val="1"/>
        </w:numPr>
        <w:spacing w:line="480" w:lineRule="exact"/>
        <w:rPr>
          <w:rFonts w:ascii="宋体" w:hAnsi="宋体" w:cs="宋体"/>
          <w:color w:val="000000" w:themeColor="text1"/>
          <w14:textFill>
            <w14:solidFill>
              <w14:schemeClr w14:val="tx1"/>
            </w14:solidFill>
          </w14:textFill>
        </w:rPr>
      </w:pPr>
      <w:bookmarkStart w:id="123" w:name="_Toc25158"/>
      <w:bookmarkStart w:id="124" w:name="_Toc19000882"/>
      <w:r>
        <w:rPr>
          <w:rFonts w:hint="eastAsia" w:ascii="宋体" w:hAnsi="宋体" w:cs="宋体"/>
          <w:color w:val="000000" w:themeColor="text1"/>
          <w14:textFill>
            <w14:solidFill>
              <w14:schemeClr w14:val="tx1"/>
            </w14:solidFill>
          </w14:textFill>
        </w:rPr>
        <w:t>采购需求</w:t>
      </w:r>
      <w:bookmarkEnd w:id="123"/>
    </w:p>
    <w:p>
      <w:pPr>
        <w:spacing w:line="480" w:lineRule="exact"/>
        <w:ind w:firstLine="212" w:firstLineChars="100"/>
        <w:rPr>
          <w:rFonts w:ascii="宋体" w:hAnsi="宋体" w:cs="宋体"/>
          <w:b/>
          <w:bCs/>
          <w:color w:val="000000" w:themeColor="text1"/>
          <w14:textFill>
            <w14:solidFill>
              <w14:schemeClr w14:val="tx1"/>
            </w14:solidFill>
          </w14:textFill>
        </w:rPr>
      </w:pPr>
    </w:p>
    <w:p>
      <w:pPr>
        <w:pStyle w:val="105"/>
        <w:pageBreakBefore w:val="0"/>
        <w:widowControl w:val="0"/>
        <w:kinsoku/>
        <w:wordWrap/>
        <w:overflowPunct/>
        <w:topLinePunct w:val="0"/>
        <w:bidi w:val="0"/>
        <w:adjustRightInd w:val="0"/>
        <w:snapToGrid w:val="0"/>
        <w:spacing w:line="360" w:lineRule="auto"/>
        <w:ind w:left="0" w:leftChars="0" w:firstLine="0" w:firstLineChars="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一、项目概况</w:t>
      </w:r>
    </w:p>
    <w:p>
      <w:pPr>
        <w:pStyle w:val="105"/>
        <w:pageBreakBefore w:val="0"/>
        <w:widowControl w:val="0"/>
        <w:kinsoku/>
        <w:wordWrap/>
        <w:overflowPunct/>
        <w:topLinePunct w:val="0"/>
        <w:bidi w:val="0"/>
        <w:adjustRightInd w:val="0"/>
        <w:snapToGrid w:val="0"/>
        <w:spacing w:line="360" w:lineRule="auto"/>
        <w:ind w:left="0" w:leftChars="0" w:firstLine="42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本项目总建筑面积118081.12平方米。主要建筑包括：实训楼、综合楼、报告厅、宿舍楼、地下室、酒店实训用房等设施建设。</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服务范围：吉安市吉州区金樟职业教育园建设项目（一期）第三方工程质量检测服务。</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spacing w:val="7"/>
          <w:szCs w:val="21"/>
          <w:lang w:bidi="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检测服务内容：</w:t>
      </w:r>
      <w:r>
        <w:rPr>
          <w:rFonts w:hint="eastAsia" w:ascii="宋体" w:hAnsi="宋体" w:cs="宋体"/>
          <w:color w:val="000000" w:themeColor="text1"/>
          <w:spacing w:val="7"/>
          <w:szCs w:val="21"/>
          <w:lang w:eastAsia="en-US" w:bidi="en-US"/>
          <w14:textFill>
            <w14:solidFill>
              <w14:schemeClr w14:val="tx1"/>
            </w14:solidFill>
          </w14:textFill>
        </w:rPr>
        <w:t>低应变检测、单桩竖向抗压静载</w:t>
      </w:r>
      <w:r>
        <w:rPr>
          <w:rFonts w:hint="eastAsia" w:ascii="宋体" w:hAnsi="宋体"/>
          <w:color w:val="000000" w:themeColor="text1"/>
          <w14:textFill>
            <w14:solidFill>
              <w14:schemeClr w14:val="tx1"/>
            </w14:solidFill>
          </w14:textFill>
        </w:rPr>
        <w:t>（堆载法）检测</w:t>
      </w:r>
      <w:r>
        <w:rPr>
          <w:rFonts w:hint="eastAsia" w:ascii="宋体" w:hAnsi="宋体" w:cs="宋体"/>
          <w:color w:val="000000" w:themeColor="text1"/>
          <w:spacing w:val="7"/>
          <w:szCs w:val="21"/>
          <w:lang w:bidi="en-US"/>
          <w14:textFill>
            <w14:solidFill>
              <w14:schemeClr w14:val="tx1"/>
            </w14:solidFill>
          </w14:textFill>
        </w:rPr>
        <w:t>、</w:t>
      </w:r>
      <w:r>
        <w:rPr>
          <w:rFonts w:hint="eastAsia" w:ascii="宋体" w:hAnsi="宋体"/>
          <w:color w:val="000000" w:themeColor="text1"/>
          <w14:textFill>
            <w14:solidFill>
              <w14:schemeClr w14:val="tx1"/>
            </w14:solidFill>
          </w14:textFill>
        </w:rPr>
        <w:t>竖向</w:t>
      </w:r>
      <w:r>
        <w:rPr>
          <w:rFonts w:hint="eastAsia" w:ascii="宋体" w:hAnsi="宋体" w:cs="宋体"/>
          <w:color w:val="000000" w:themeColor="text1"/>
          <w:spacing w:val="7"/>
          <w:szCs w:val="21"/>
          <w:lang w:bidi="en-US"/>
          <w14:textFill>
            <w14:solidFill>
              <w14:schemeClr w14:val="tx1"/>
            </w14:solidFill>
          </w14:textFill>
        </w:rPr>
        <w:t>抗拔</w:t>
      </w:r>
      <w:r>
        <w:rPr>
          <w:rFonts w:hint="eastAsia" w:ascii="宋体" w:hAnsi="宋体" w:cs="宋体"/>
          <w:color w:val="000000" w:themeColor="text1"/>
          <w:spacing w:val="7"/>
          <w:szCs w:val="21"/>
          <w:lang w:eastAsia="en-US" w:bidi="en-US"/>
          <w14:textFill>
            <w14:solidFill>
              <w14:schemeClr w14:val="tx1"/>
            </w14:solidFill>
          </w14:textFill>
        </w:rPr>
        <w:t>试验</w:t>
      </w:r>
      <w:r>
        <w:rPr>
          <w:rFonts w:hint="eastAsia" w:ascii="宋体" w:hAnsi="宋体" w:cs="宋体"/>
          <w:color w:val="000000" w:themeColor="text1"/>
          <w:spacing w:val="7"/>
          <w:szCs w:val="21"/>
          <w:lang w:bidi="en-US"/>
          <w14:textFill>
            <w14:solidFill>
              <w14:schemeClr w14:val="tx1"/>
            </w14:solidFill>
          </w14:textFill>
        </w:rPr>
        <w:t>检测</w:t>
      </w:r>
      <w:r>
        <w:rPr>
          <w:rFonts w:hint="eastAsia" w:ascii="宋体" w:hAnsi="宋体" w:cs="宋体"/>
          <w:color w:val="000000" w:themeColor="text1"/>
          <w:spacing w:val="7"/>
          <w:szCs w:val="21"/>
          <w:lang w:eastAsia="en-US" w:bidi="en-US"/>
          <w14:textFill>
            <w14:solidFill>
              <w14:schemeClr w14:val="tx1"/>
            </w14:solidFill>
          </w14:textFill>
        </w:rPr>
        <w:t>、钻芯法检测</w:t>
      </w:r>
      <w:r>
        <w:rPr>
          <w:rFonts w:hint="eastAsia" w:ascii="宋体" w:hAnsi="宋体" w:cs="宋体"/>
          <w:color w:val="000000" w:themeColor="text1"/>
          <w:spacing w:val="7"/>
          <w:szCs w:val="21"/>
          <w:lang w:bidi="en-US"/>
          <w14:textFill>
            <w14:solidFill>
              <w14:schemeClr w14:val="tx1"/>
            </w14:solidFill>
          </w14:textFill>
        </w:rPr>
        <w:t>、常规检测（包括沉降观测、见证取样、建筑节能、主体结构、钢结构、市政道路、采购人指定的其它常规等检测，但不包括人防工程、消防工程、绿建项目、防雷设施专项检测）。</w:t>
      </w:r>
    </w:p>
    <w:p>
      <w:pPr>
        <w:pStyle w:val="105"/>
        <w:pageBreakBefore w:val="0"/>
        <w:widowControl w:val="0"/>
        <w:kinsoku/>
        <w:wordWrap/>
        <w:overflowPunct/>
        <w:topLinePunct w:val="0"/>
        <w:bidi w:val="0"/>
        <w:adjustRightInd w:val="0"/>
        <w:snapToGrid w:val="0"/>
        <w:spacing w:line="360" w:lineRule="auto"/>
        <w:ind w:left="0" w:leftChars="0" w:firstLine="0" w:firstLineChars="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二、服务内容</w:t>
      </w:r>
    </w:p>
    <w:tbl>
      <w:tblPr>
        <w:tblStyle w:val="2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47"/>
        <w:gridCol w:w="3599"/>
        <w:gridCol w:w="708"/>
        <w:gridCol w:w="1063"/>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序号</w:t>
            </w:r>
          </w:p>
        </w:tc>
        <w:tc>
          <w:tcPr>
            <w:tcW w:w="1847"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检测项目</w:t>
            </w:r>
          </w:p>
        </w:tc>
        <w:tc>
          <w:tcPr>
            <w:tcW w:w="3599"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检测项目明细</w:t>
            </w:r>
          </w:p>
        </w:tc>
        <w:tc>
          <w:tcPr>
            <w:tcW w:w="708"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单位</w:t>
            </w:r>
          </w:p>
        </w:tc>
        <w:tc>
          <w:tcPr>
            <w:tcW w:w="1063"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检测数量</w:t>
            </w:r>
          </w:p>
        </w:tc>
        <w:tc>
          <w:tcPr>
            <w:tcW w:w="1131"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最高限制综合单价（元）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1847"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地基基础检测1</w:t>
            </w:r>
          </w:p>
        </w:tc>
        <w:tc>
          <w:tcPr>
            <w:tcW w:w="3599" w:type="dxa"/>
            <w:vAlign w:val="center"/>
          </w:tcPr>
          <w:p>
            <w:pPr>
              <w:pageBreakBefore w:val="0"/>
              <w:widowControl w:val="0"/>
              <w:kinsoku/>
              <w:wordWrap/>
              <w:overflowPunct/>
              <w:topLinePunct w:val="0"/>
              <w:bidi w:val="0"/>
              <w:adjustRightInd w:val="0"/>
              <w:snapToGrid w:val="0"/>
              <w:spacing w:line="240" w:lineRule="auto"/>
              <w:ind w:left="0" w:left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低应变检测</w:t>
            </w:r>
          </w:p>
        </w:tc>
        <w:tc>
          <w:tcPr>
            <w:tcW w:w="708"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w:t>
            </w:r>
          </w:p>
        </w:tc>
        <w:tc>
          <w:tcPr>
            <w:tcW w:w="1063"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2271</w:t>
            </w:r>
          </w:p>
        </w:tc>
        <w:tc>
          <w:tcPr>
            <w:tcW w:w="1131"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1847"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地基基础检测2</w:t>
            </w:r>
          </w:p>
        </w:tc>
        <w:tc>
          <w:tcPr>
            <w:tcW w:w="3599" w:type="dxa"/>
            <w:vAlign w:val="center"/>
          </w:tcPr>
          <w:p>
            <w:pPr>
              <w:pageBreakBefore w:val="0"/>
              <w:widowControl w:val="0"/>
              <w:kinsoku/>
              <w:wordWrap/>
              <w:overflowPunct/>
              <w:topLinePunct w:val="0"/>
              <w:bidi w:val="0"/>
              <w:adjustRightInd w:val="0"/>
              <w:snapToGrid w:val="0"/>
              <w:spacing w:line="240" w:lineRule="auto"/>
              <w:ind w:left="0" w:left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竖向抗压静载（堆载法）检测</w:t>
            </w:r>
          </w:p>
        </w:tc>
        <w:tc>
          <w:tcPr>
            <w:tcW w:w="708"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吨</w:t>
            </w:r>
          </w:p>
        </w:tc>
        <w:tc>
          <w:tcPr>
            <w:tcW w:w="1063"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73513.47</w:t>
            </w:r>
          </w:p>
        </w:tc>
        <w:tc>
          <w:tcPr>
            <w:tcW w:w="1131"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1847"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地基基础检测3</w:t>
            </w:r>
          </w:p>
        </w:tc>
        <w:tc>
          <w:tcPr>
            <w:tcW w:w="3599" w:type="dxa"/>
            <w:vAlign w:val="center"/>
          </w:tcPr>
          <w:p>
            <w:pPr>
              <w:pageBreakBefore w:val="0"/>
              <w:widowControl w:val="0"/>
              <w:kinsoku/>
              <w:wordWrap/>
              <w:overflowPunct/>
              <w:topLinePunct w:val="0"/>
              <w:bidi w:val="0"/>
              <w:adjustRightInd w:val="0"/>
              <w:snapToGrid w:val="0"/>
              <w:spacing w:line="240" w:lineRule="auto"/>
              <w:ind w:left="0" w:left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竖向抗拔静载</w:t>
            </w:r>
          </w:p>
        </w:tc>
        <w:tc>
          <w:tcPr>
            <w:tcW w:w="708"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吨</w:t>
            </w:r>
          </w:p>
        </w:tc>
        <w:tc>
          <w:tcPr>
            <w:tcW w:w="1063"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911.02</w:t>
            </w:r>
          </w:p>
        </w:tc>
        <w:tc>
          <w:tcPr>
            <w:tcW w:w="1131"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90"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1847"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地基基础检测4</w:t>
            </w:r>
          </w:p>
        </w:tc>
        <w:tc>
          <w:tcPr>
            <w:tcW w:w="3599" w:type="dxa"/>
            <w:vAlign w:val="center"/>
          </w:tcPr>
          <w:p>
            <w:pPr>
              <w:pageBreakBefore w:val="0"/>
              <w:widowControl w:val="0"/>
              <w:kinsoku/>
              <w:wordWrap/>
              <w:overflowPunct/>
              <w:topLinePunct w:val="0"/>
              <w:bidi w:val="0"/>
              <w:adjustRightInd w:val="0"/>
              <w:snapToGrid w:val="0"/>
              <w:spacing w:line="240" w:lineRule="auto"/>
              <w:ind w:left="0" w:left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钻芯法检测</w:t>
            </w:r>
          </w:p>
        </w:tc>
        <w:tc>
          <w:tcPr>
            <w:tcW w:w="708"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米</w:t>
            </w:r>
          </w:p>
        </w:tc>
        <w:tc>
          <w:tcPr>
            <w:tcW w:w="1063"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3477</w:t>
            </w:r>
          </w:p>
        </w:tc>
        <w:tc>
          <w:tcPr>
            <w:tcW w:w="1131"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90"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1847"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14:textFill>
                  <w14:solidFill>
                    <w14:schemeClr w14:val="tx1"/>
                  </w14:solidFill>
                </w14:textFill>
              </w:rPr>
            </w:pPr>
            <w:r>
              <w:rPr>
                <w:rFonts w:hint="eastAsia" w:ascii="宋体" w:hAnsi="宋体" w:cs="宋体"/>
                <w:color w:val="000000" w:themeColor="text1"/>
                <w:spacing w:val="7"/>
                <w:szCs w:val="21"/>
                <w:lang w:bidi="en-US"/>
                <w14:textFill>
                  <w14:solidFill>
                    <w14:schemeClr w14:val="tx1"/>
                  </w14:solidFill>
                </w14:textFill>
              </w:rPr>
              <w:t>常规检测</w:t>
            </w:r>
          </w:p>
        </w:tc>
        <w:tc>
          <w:tcPr>
            <w:tcW w:w="3599" w:type="dxa"/>
            <w:vAlign w:val="center"/>
          </w:tcPr>
          <w:p>
            <w:pPr>
              <w:pageBreakBefore w:val="0"/>
              <w:widowControl w:val="0"/>
              <w:kinsoku/>
              <w:wordWrap/>
              <w:overflowPunct/>
              <w:topLinePunct w:val="0"/>
              <w:bidi w:val="0"/>
              <w:adjustRightInd w:val="0"/>
              <w:snapToGrid w:val="0"/>
              <w:spacing w:line="240" w:lineRule="auto"/>
              <w:ind w:left="0" w:left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（1）见证取样检测：钢筋原材、钢筋焊接、水泥、砂、石、防水卷材、砼及砂浆配合比、砖、砌块、试块抗压；</w:t>
            </w:r>
          </w:p>
          <w:p>
            <w:pPr>
              <w:pageBreakBefore w:val="0"/>
              <w:widowControl w:val="0"/>
              <w:kinsoku/>
              <w:wordWrap/>
              <w:overflowPunct/>
              <w:topLinePunct w:val="0"/>
              <w:bidi w:val="0"/>
              <w:adjustRightInd w:val="0"/>
              <w:snapToGrid w:val="0"/>
              <w:spacing w:line="240" w:lineRule="auto"/>
              <w:ind w:left="0" w:left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（2）主体结构检测：混凝土回弹检测、钢筋保护层厚度检测、楼板厚度检测、植筋拉拔检测；</w:t>
            </w:r>
          </w:p>
          <w:p>
            <w:pPr>
              <w:pageBreakBefore w:val="0"/>
              <w:widowControl w:val="0"/>
              <w:kinsoku/>
              <w:wordWrap/>
              <w:overflowPunct/>
              <w:topLinePunct w:val="0"/>
              <w:bidi w:val="0"/>
              <w:adjustRightInd w:val="0"/>
              <w:snapToGrid w:val="0"/>
              <w:spacing w:line="240" w:lineRule="auto"/>
              <w:ind w:left="0" w:left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（3）建筑节能检测：墙体、屋面保温材料（不含燃烧性能），现场取芯，铝合金，玻璃露点，门窗三性；</w:t>
            </w:r>
          </w:p>
          <w:p>
            <w:pPr>
              <w:pageBreakBefore w:val="0"/>
              <w:widowControl w:val="0"/>
              <w:kinsoku/>
              <w:wordWrap/>
              <w:overflowPunct/>
              <w:topLinePunct w:val="0"/>
              <w:bidi w:val="0"/>
              <w:adjustRightInd w:val="0"/>
              <w:snapToGrid w:val="0"/>
              <w:spacing w:line="240" w:lineRule="auto"/>
              <w:ind w:left="0" w:left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（4）沉降观测检测：建筑物沉降观测；</w:t>
            </w:r>
          </w:p>
          <w:p>
            <w:pPr>
              <w:pageBreakBefore w:val="0"/>
              <w:widowControl w:val="0"/>
              <w:kinsoku/>
              <w:wordWrap/>
              <w:overflowPunct/>
              <w:topLinePunct w:val="0"/>
              <w:bidi w:val="0"/>
              <w:adjustRightInd w:val="0"/>
              <w:snapToGrid w:val="0"/>
              <w:spacing w:line="240" w:lineRule="auto"/>
              <w:ind w:left="0" w:leftChars="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（5）钢结构检测；</w:t>
            </w:r>
          </w:p>
          <w:p>
            <w:pPr>
              <w:pageBreakBefore w:val="0"/>
              <w:widowControl w:val="0"/>
              <w:kinsoku/>
              <w:wordWrap/>
              <w:overflowPunct/>
              <w:topLinePunct w:val="0"/>
              <w:bidi w:val="0"/>
              <w:adjustRightInd w:val="0"/>
              <w:snapToGrid w:val="0"/>
              <w:spacing w:line="240" w:lineRule="auto"/>
              <w:ind w:left="0" w:left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（6）市政道路检测：道路工程（路基路面原材料及配合比试验）、路基路面现场检测；排水工程（管材、井盖、雨污管道闭水检测）；</w:t>
            </w:r>
          </w:p>
          <w:p>
            <w:pPr>
              <w:pageBreakBefore w:val="0"/>
              <w:widowControl w:val="0"/>
              <w:kinsoku/>
              <w:wordWrap/>
              <w:overflowPunct/>
              <w:topLinePunct w:val="0"/>
              <w:bidi w:val="0"/>
              <w:adjustRightInd w:val="0"/>
              <w:snapToGrid w:val="0"/>
              <w:spacing w:line="240" w:lineRule="auto"/>
              <w:ind w:left="0" w:left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r>
              <w:rPr>
                <w:rFonts w:hint="eastAsia" w:ascii="宋体" w:hAnsi="宋体" w:cs="宋体"/>
                <w:color w:val="000000" w:themeColor="text1"/>
                <w:spacing w:val="7"/>
                <w:szCs w:val="21"/>
                <w:lang w:bidi="en-US"/>
                <w14:textFill>
                  <w14:solidFill>
                    <w14:schemeClr w14:val="tx1"/>
                  </w14:solidFill>
                </w14:textFill>
              </w:rPr>
              <w:t>采购人指定的其它常规检测。</w:t>
            </w:r>
          </w:p>
        </w:tc>
        <w:tc>
          <w:tcPr>
            <w:tcW w:w="708"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1063"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31" w:type="dxa"/>
            <w:vAlign w:val="center"/>
          </w:tcPr>
          <w:p>
            <w:pPr>
              <w:pageBreakBefore w:val="0"/>
              <w:widowControl w:val="0"/>
              <w:kinsoku/>
              <w:wordWrap/>
              <w:overflowPunct/>
              <w:topLinePunct w:val="0"/>
              <w:bidi w:val="0"/>
              <w:adjustRightInd w:val="0"/>
              <w:snapToGrid w:val="0"/>
              <w:spacing w:line="240" w:lineRule="auto"/>
              <w:ind w:left="0" w:leftChars="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200000</w:t>
            </w:r>
          </w:p>
        </w:tc>
      </w:tr>
    </w:tbl>
    <w:p>
      <w:pPr>
        <w:pStyle w:val="105"/>
        <w:pageBreakBefore w:val="0"/>
        <w:widowControl w:val="0"/>
        <w:kinsoku/>
        <w:wordWrap/>
        <w:overflowPunct/>
        <w:topLinePunct w:val="0"/>
        <w:bidi w:val="0"/>
        <w:adjustRightInd w:val="0"/>
        <w:snapToGrid w:val="0"/>
        <w:spacing w:line="360" w:lineRule="auto"/>
        <w:ind w:left="0" w:leftChars="0"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备注：1、投标人所填写的投标单价不得高于各项检测费用最高限制单价，否则按投标报价无效处理。</w:t>
      </w:r>
    </w:p>
    <w:p>
      <w:pPr>
        <w:pStyle w:val="105"/>
        <w:pageBreakBefore w:val="0"/>
        <w:widowControl w:val="0"/>
        <w:kinsoku/>
        <w:wordWrap/>
        <w:overflowPunct/>
        <w:topLinePunct w:val="0"/>
        <w:bidi w:val="0"/>
        <w:adjustRightInd w:val="0"/>
        <w:snapToGrid w:val="0"/>
        <w:spacing w:line="360" w:lineRule="auto"/>
        <w:ind w:left="0" w:leftChars="0" w:firstLine="0" w:firstLineChars="0"/>
        <w:rPr>
          <w:rFonts w:ascii="宋体" w:hAnsi="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olor w:val="000000" w:themeColor="text1"/>
          <w14:textFill>
            <w14:solidFill>
              <w14:schemeClr w14:val="tx1"/>
            </w14:solidFill>
          </w14:textFill>
        </w:rPr>
        <w:t>低应变检测、竖向抗压静载（堆载法）检测、竖向抗拔静载检测、钻芯法检测费用按照该单项实际检测数量×中标综合单价进行该单项检测费用结算。</w:t>
      </w:r>
    </w:p>
    <w:p>
      <w:pPr>
        <w:pStyle w:val="105"/>
        <w:pageBreakBefore w:val="0"/>
        <w:widowControl w:val="0"/>
        <w:kinsoku/>
        <w:wordWrap/>
        <w:overflowPunct/>
        <w:topLinePunct w:val="0"/>
        <w:bidi w:val="0"/>
        <w:adjustRightInd w:val="0"/>
        <w:snapToGrid w:val="0"/>
        <w:spacing w:line="360" w:lineRule="auto"/>
        <w:ind w:left="0" w:leftChars="0"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cs="宋体"/>
          <w:color w:val="000000" w:themeColor="text1"/>
          <w:spacing w:val="7"/>
          <w:szCs w:val="21"/>
          <w:lang w:bidi="en-US"/>
          <w14:textFill>
            <w14:solidFill>
              <w14:schemeClr w14:val="tx1"/>
            </w14:solidFill>
          </w14:textFill>
        </w:rPr>
        <w:t>常规检测费用（包括沉降观测、见证取样、建筑节能、主体结构、钢结构、市政道路、采购人指定的其它常规等检测）</w:t>
      </w:r>
      <w:r>
        <w:rPr>
          <w:rFonts w:hint="eastAsia" w:ascii="宋体" w:hAnsi="宋体"/>
          <w:color w:val="000000" w:themeColor="text1"/>
          <w14:textFill>
            <w14:solidFill>
              <w14:schemeClr w14:val="tx1"/>
            </w14:solidFill>
          </w14:textFill>
        </w:rPr>
        <w:t>要求投标人采取总体包干价进行报价，中标总体包干价报价不得高于200000元。</w:t>
      </w:r>
    </w:p>
    <w:p>
      <w:pPr>
        <w:pStyle w:val="105"/>
        <w:pageBreakBefore w:val="0"/>
        <w:widowControl w:val="0"/>
        <w:kinsoku/>
        <w:wordWrap/>
        <w:overflowPunct/>
        <w:topLinePunct w:val="0"/>
        <w:bidi w:val="0"/>
        <w:adjustRightInd w:val="0"/>
        <w:snapToGrid w:val="0"/>
        <w:spacing w:line="360" w:lineRule="auto"/>
        <w:ind w:left="0" w:leftChars="0" w:firstLine="0"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4、报价金额只保留到小数点后二位数。</w:t>
      </w:r>
    </w:p>
    <w:p>
      <w:pPr>
        <w:pageBreakBefore w:val="0"/>
        <w:widowControl w:val="0"/>
        <w:kinsoku/>
        <w:wordWrap/>
        <w:overflowPunct/>
        <w:topLinePunct w:val="0"/>
        <w:bidi w:val="0"/>
        <w:adjustRightInd w:val="0"/>
        <w:snapToGrid w:val="0"/>
        <w:spacing w:line="360" w:lineRule="auto"/>
        <w:ind w:left="0" w:leftChars="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三、技术要求</w:t>
      </w:r>
    </w:p>
    <w:p>
      <w:pPr>
        <w:pageBreakBefore w:val="0"/>
        <w:widowControl w:val="0"/>
        <w:numPr>
          <w:ilvl w:val="0"/>
          <w:numId w:val="8"/>
        </w:numPr>
        <w:kinsoku/>
        <w:wordWrap/>
        <w:overflowPunct/>
        <w:topLinePunct w:val="0"/>
        <w:bidi w:val="0"/>
        <w:adjustRightInd w:val="0"/>
        <w:snapToGrid w:val="0"/>
        <w:spacing w:line="360" w:lineRule="auto"/>
        <w:ind w:left="0" w:leftChars="0" w:firstLine="424" w:firstLineChars="200"/>
        <w:rPr>
          <w:rFonts w:ascii="宋体" w:hAnsi="宋体" w:cs="宋体"/>
          <w:b/>
          <w:bCs/>
          <w:color w:val="000000" w:themeColor="text1"/>
          <w:kern w:val="24"/>
          <w:szCs w:val="21"/>
          <w14:textFill>
            <w14:solidFill>
              <w14:schemeClr w14:val="tx1"/>
            </w14:solidFill>
          </w14:textFill>
        </w:rPr>
      </w:pPr>
      <w:r>
        <w:rPr>
          <w:rFonts w:hint="eastAsia" w:ascii="宋体" w:hAnsi="宋体" w:cs="宋体"/>
          <w:b/>
          <w:bCs/>
          <w:color w:val="000000" w:themeColor="text1"/>
          <w:kern w:val="24"/>
          <w:szCs w:val="21"/>
          <w14:textFill>
            <w14:solidFill>
              <w14:schemeClr w14:val="tx1"/>
            </w14:solidFill>
          </w14:textFill>
        </w:rPr>
        <w:t>总体要求</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（1）检测单位在检测过程中应始终维护采购人的合法利益，保证检测质量，实现工程质量目标。</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（2）检测单位对检测结果的真实性和准确性负责，对检测过程中发现的质量问题要及时向监理工程师报告，并协助制定解决方案。</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（3）检测单位必须及时完成现场检测工作，并按时提供中间报告和最终检测报告，确保后续工程施工顺利进行。</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（4）检测过程中涉及检测方法的重大变化必须报总监审核、经采购人同意后方可实施。</w:t>
      </w:r>
    </w:p>
    <w:p>
      <w:pPr>
        <w:pStyle w:val="5"/>
        <w:pageBreakBefore w:val="0"/>
        <w:widowControl w:val="0"/>
        <w:kinsoku/>
        <w:wordWrap/>
        <w:overflowPunct/>
        <w:topLinePunct w:val="0"/>
        <w:bidi w:val="0"/>
        <w:adjustRightInd w:val="0"/>
        <w:snapToGrid w:val="0"/>
        <w:spacing w:before="0" w:after="0" w:line="360" w:lineRule="auto"/>
        <w:ind w:left="0" w:leftChars="0" w:firstLine="424" w:firstLineChars="200"/>
        <w:rPr>
          <w:rFonts w:ascii="宋体" w:hAnsi="宋体" w:cs="宋体"/>
          <w:color w:val="000000" w:themeColor="text1"/>
          <w:kern w:val="24"/>
          <w:sz w:val="21"/>
          <w:szCs w:val="21"/>
          <w14:textFill>
            <w14:solidFill>
              <w14:schemeClr w14:val="tx1"/>
            </w14:solidFill>
          </w14:textFill>
        </w:rPr>
      </w:pPr>
      <w:bookmarkStart w:id="125" w:name="_Toc217732031"/>
      <w:bookmarkStart w:id="126" w:name="_Toc276466169"/>
      <w:bookmarkStart w:id="127" w:name="_Toc145097461"/>
      <w:bookmarkStart w:id="128" w:name="_Toc173829587"/>
      <w:bookmarkStart w:id="129" w:name="_Toc276644075"/>
      <w:r>
        <w:rPr>
          <w:rFonts w:hint="eastAsia" w:ascii="宋体" w:hAnsi="宋体" w:cs="宋体"/>
          <w:color w:val="000000" w:themeColor="text1"/>
          <w:kern w:val="24"/>
          <w:sz w:val="21"/>
          <w:szCs w:val="21"/>
          <w14:textFill>
            <w14:solidFill>
              <w14:schemeClr w14:val="tx1"/>
            </w14:solidFill>
          </w14:textFill>
        </w:rPr>
        <w:t>2、仪器、设备及设施配置</w:t>
      </w:r>
      <w:bookmarkEnd w:id="125"/>
      <w:bookmarkEnd w:id="126"/>
      <w:bookmarkEnd w:id="127"/>
      <w:bookmarkEnd w:id="128"/>
      <w:bookmarkEnd w:id="129"/>
    </w:p>
    <w:p>
      <w:pPr>
        <w:pStyle w:val="128"/>
        <w:pageBreakBefore w:val="0"/>
        <w:widowControl w:val="0"/>
        <w:kinsoku/>
        <w:wordWrap/>
        <w:overflowPunct/>
        <w:topLinePunct w:val="0"/>
        <w:bidi w:val="0"/>
        <w:adjustRightInd w:val="0"/>
        <w:snapToGrid w:val="0"/>
        <w:spacing w:line="360" w:lineRule="auto"/>
        <w:ind w:left="0" w:leftChars="0" w:firstLine="424" w:firstLineChars="200"/>
        <w:rPr>
          <w:rFonts w:hAnsi="宋体" w:cs="仿宋"/>
          <w:b/>
          <w:color w:val="000000" w:themeColor="text1"/>
          <w:sz w:val="21"/>
          <w:szCs w:val="21"/>
          <w14:textFill>
            <w14:solidFill>
              <w14:schemeClr w14:val="tx1"/>
            </w14:solidFill>
          </w14:textFill>
        </w:rPr>
      </w:pPr>
      <w:bookmarkStart w:id="130" w:name="_Toc173829553"/>
      <w:bookmarkStart w:id="131" w:name="_Toc217732032"/>
      <w:bookmarkStart w:id="132" w:name="_Toc173829588"/>
      <w:bookmarkStart w:id="133" w:name="_Toc144670606"/>
      <w:bookmarkStart w:id="134" w:name="_Toc145097462"/>
      <w:r>
        <w:rPr>
          <w:rFonts w:hint="eastAsia" w:hAnsi="宋体" w:cs="宋体"/>
          <w:color w:val="000000" w:themeColor="text1"/>
          <w:kern w:val="24"/>
          <w:sz w:val="21"/>
          <w:szCs w:val="21"/>
          <w14:textFill>
            <w14:solidFill>
              <w14:schemeClr w14:val="tx1"/>
            </w14:solidFill>
          </w14:textFill>
        </w:rPr>
        <w:t>（1）</w:t>
      </w:r>
      <w:r>
        <w:rPr>
          <w:rFonts w:hint="eastAsia" w:hAnsi="宋体" w:cs="仿宋"/>
          <w:bCs/>
          <w:color w:val="000000" w:themeColor="text1"/>
          <w:sz w:val="21"/>
          <w:szCs w:val="21"/>
          <w14:textFill>
            <w14:solidFill>
              <w14:schemeClr w14:val="tx1"/>
            </w14:solidFill>
          </w14:textFill>
        </w:rPr>
        <w:t>中标检测单位必须按照吉安市住房和城乡建设局颁发《关于进一步加强我市房屋建筑和市政工程质量检测管理工作通知》（吉市建发</w:t>
      </w:r>
      <w:r>
        <w:rPr>
          <w:rFonts w:hint="eastAsia" w:hAnsi="宋体" w:cs="微软雅黑"/>
          <w:bCs/>
          <w:color w:val="000000" w:themeColor="text1"/>
          <w:sz w:val="21"/>
          <w:szCs w:val="21"/>
          <w14:textFill>
            <w14:solidFill>
              <w14:schemeClr w14:val="tx1"/>
            </w14:solidFill>
          </w14:textFill>
        </w:rPr>
        <w:t>【</w:t>
      </w:r>
      <w:r>
        <w:rPr>
          <w:rFonts w:hint="eastAsia" w:hAnsi="宋体" w:cs="仿宋"/>
          <w:bCs/>
          <w:color w:val="000000" w:themeColor="text1"/>
          <w:sz w:val="21"/>
          <w:szCs w:val="21"/>
          <w14:textFill>
            <w14:solidFill>
              <w14:schemeClr w14:val="tx1"/>
            </w14:solidFill>
          </w14:textFill>
        </w:rPr>
        <w:t>2021</w:t>
      </w:r>
      <w:r>
        <w:rPr>
          <w:rFonts w:hint="eastAsia" w:hAnsi="宋体" w:cs="微软雅黑"/>
          <w:bCs/>
          <w:color w:val="000000" w:themeColor="text1"/>
          <w:sz w:val="21"/>
          <w:szCs w:val="21"/>
          <w14:textFill>
            <w14:solidFill>
              <w14:schemeClr w14:val="tx1"/>
            </w14:solidFill>
          </w14:textFill>
        </w:rPr>
        <w:t>】</w:t>
      </w:r>
      <w:r>
        <w:rPr>
          <w:rFonts w:hint="eastAsia" w:hAnsi="宋体" w:cs="仿宋"/>
          <w:bCs/>
          <w:color w:val="000000" w:themeColor="text1"/>
          <w:sz w:val="21"/>
          <w:szCs w:val="21"/>
          <w14:textFill>
            <w14:solidFill>
              <w14:schemeClr w14:val="tx1"/>
            </w14:solidFill>
          </w14:textFill>
        </w:rPr>
        <w:t>32号）文件要求，在采购人要求的开始工程检测时间前纳入“吉安市建筑市场和建筑工程质量安全监管服务平台”，以保证工程质量检测数据信息采集常态化。若中标检测单位无法在采购人规定的时间内纳入“建管平台”，则视为其无履行服务合同能力，采购人有权取消其中标资格并终止检测服务合同。</w:t>
      </w:r>
    </w:p>
    <w:p>
      <w:pPr>
        <w:pStyle w:val="128"/>
        <w:pageBreakBefore w:val="0"/>
        <w:widowControl w:val="0"/>
        <w:kinsoku/>
        <w:wordWrap/>
        <w:overflowPunct/>
        <w:topLinePunct w:val="0"/>
        <w:bidi w:val="0"/>
        <w:adjustRightInd w:val="0"/>
        <w:snapToGrid w:val="0"/>
        <w:spacing w:line="360" w:lineRule="auto"/>
        <w:ind w:left="0" w:leftChars="0" w:firstLine="424" w:firstLineChars="200"/>
        <w:rPr>
          <w:rFonts w:hAnsi="宋体" w:cs="仿宋"/>
          <w:color w:val="000000" w:themeColor="text1"/>
          <w:sz w:val="21"/>
          <w:szCs w:val="21"/>
          <w14:textFill>
            <w14:solidFill>
              <w14:schemeClr w14:val="tx1"/>
            </w14:solidFill>
          </w14:textFill>
        </w:rPr>
      </w:pPr>
      <w:r>
        <w:rPr>
          <w:rFonts w:hint="eastAsia" w:hAnsi="宋体" w:cs="仿宋"/>
          <w:color w:val="000000" w:themeColor="text1"/>
          <w:sz w:val="21"/>
          <w:szCs w:val="21"/>
          <w14:textFill>
            <w14:solidFill>
              <w14:schemeClr w14:val="tx1"/>
            </w14:solidFill>
          </w14:textFill>
        </w:rPr>
        <w:t>（2）</w:t>
      </w:r>
      <w:r>
        <w:rPr>
          <w:rFonts w:hint="eastAsia" w:hAnsi="宋体" w:cs="宋体"/>
          <w:color w:val="000000" w:themeColor="text1"/>
          <w:kern w:val="24"/>
          <w:sz w:val="21"/>
          <w:szCs w:val="21"/>
          <w14:textFill>
            <w14:solidFill>
              <w14:schemeClr w14:val="tx1"/>
            </w14:solidFill>
          </w14:textFill>
        </w:rPr>
        <w:t>投入本项目的检测仪器和设备必须保证满足本工程检测工作需要，不得随意更换或退场。对不能满足本工程检测工作需要的仪器和设备，采购人或其委托的监理人有权要求检测单位更换。替换的仪器设备的性能必须满足检测工作需要，并报监理单位批准。</w:t>
      </w:r>
    </w:p>
    <w:p>
      <w:pPr>
        <w:pStyle w:val="128"/>
        <w:pageBreakBefore w:val="0"/>
        <w:widowControl w:val="0"/>
        <w:kinsoku/>
        <w:wordWrap/>
        <w:overflowPunct/>
        <w:topLinePunct w:val="0"/>
        <w:bidi w:val="0"/>
        <w:adjustRightInd w:val="0"/>
        <w:snapToGrid w:val="0"/>
        <w:spacing w:line="360" w:lineRule="auto"/>
        <w:ind w:left="0" w:leftChars="0" w:firstLine="424" w:firstLineChars="200"/>
        <w:rPr>
          <w:rFonts w:hAnsi="宋体" w:cs="宋体"/>
          <w:color w:val="000000" w:themeColor="text1"/>
          <w:kern w:val="24"/>
          <w:sz w:val="21"/>
          <w:szCs w:val="21"/>
          <w14:textFill>
            <w14:solidFill>
              <w14:schemeClr w14:val="tx1"/>
            </w14:solidFill>
          </w14:textFill>
        </w:rPr>
      </w:pPr>
      <w:r>
        <w:rPr>
          <w:rFonts w:hint="eastAsia" w:hAnsi="宋体" w:cs="宋体"/>
          <w:color w:val="000000" w:themeColor="text1"/>
          <w:kern w:val="24"/>
          <w:sz w:val="21"/>
          <w:szCs w:val="21"/>
          <w14:textFill>
            <w14:solidFill>
              <w14:schemeClr w14:val="tx1"/>
            </w14:solidFill>
          </w14:textFill>
        </w:rPr>
        <w:t>（3）检测单位采用的检测仪器和设备必须经过计量部门的检定并在有效期内，应确保所有检测仪器和设备在检测过程中状况良好、性能稳定、精度满足要求。</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b/>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（4）</w:t>
      </w:r>
      <w:r>
        <w:rPr>
          <w:rFonts w:hint="eastAsia" w:hAnsi="宋体" w:cs="仿宋"/>
          <w:color w:val="000000" w:themeColor="text1"/>
          <w:szCs w:val="21"/>
          <w14:textFill>
            <w14:solidFill>
              <w14:schemeClr w14:val="tx1"/>
            </w14:solidFill>
          </w14:textFill>
        </w:rPr>
        <w:t>检测单位</w:t>
      </w:r>
      <w:r>
        <w:rPr>
          <w:rFonts w:hint="eastAsia" w:hAnsi="宋体" w:cs="宋体"/>
          <w:color w:val="000000" w:themeColor="text1"/>
          <w:kern w:val="24"/>
          <w:szCs w:val="21"/>
          <w14:textFill>
            <w14:solidFill>
              <w14:schemeClr w14:val="tx1"/>
            </w14:solidFill>
          </w14:textFill>
        </w:rPr>
        <w:t>检测实验室须配备足够的检测仪器和设备，以满足多个工点同时检测的需要。</w:t>
      </w:r>
      <w:r>
        <w:rPr>
          <w:rFonts w:hint="eastAsia" w:ascii="宋体" w:hAnsi="宋体" w:cs="仿宋"/>
          <w:bCs/>
          <w:color w:val="000000" w:themeColor="text1"/>
          <w:szCs w:val="21"/>
          <w14:textFill>
            <w14:solidFill>
              <w14:schemeClr w14:val="tx1"/>
            </w14:solidFill>
          </w14:textFill>
        </w:rPr>
        <w:t>中标检测单位应在钢筋力学室、混凝土力学室、水泥力学室等涉及结构安全性能检测的场所应安装视频装置，视频图像、角度应能清晰分辨送检及见证人员和送检的样品，视频保存时间不少于3个月。检测机构应及时将检测报告提交给建设单位或工程监理单位进行确认并上传“建管平台”后，交由施工单位存档。</w:t>
      </w:r>
    </w:p>
    <w:p>
      <w:pPr>
        <w:pageBreakBefore w:val="0"/>
        <w:widowControl w:val="0"/>
        <w:kinsoku/>
        <w:wordWrap/>
        <w:overflowPunct/>
        <w:topLinePunct w:val="0"/>
        <w:bidi w:val="0"/>
        <w:adjustRightInd w:val="0"/>
        <w:snapToGrid w:val="0"/>
        <w:spacing w:line="360" w:lineRule="auto"/>
        <w:ind w:left="0" w:leftChars="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 xml:space="preserve">    （5）检测单位自行解决在现场开展检测工作所必需的办公、生活、交通、通讯等设施，不得与被检测单位一起办公和食宿。</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（6）中标检测单位后不得转让检测业务，也不得允许其他单位或个人以本单位的名义承担检测业务，否则视为违约。</w:t>
      </w:r>
    </w:p>
    <w:bookmarkEnd w:id="130"/>
    <w:p>
      <w:pPr>
        <w:pStyle w:val="5"/>
        <w:pageBreakBefore w:val="0"/>
        <w:widowControl w:val="0"/>
        <w:kinsoku/>
        <w:wordWrap/>
        <w:overflowPunct/>
        <w:topLinePunct w:val="0"/>
        <w:bidi w:val="0"/>
        <w:adjustRightInd w:val="0"/>
        <w:snapToGrid w:val="0"/>
        <w:spacing w:before="0" w:after="0" w:line="360" w:lineRule="auto"/>
        <w:ind w:left="0" w:leftChars="0" w:firstLine="424" w:firstLineChars="200"/>
        <w:rPr>
          <w:rFonts w:ascii="宋体" w:hAnsi="宋体" w:cs="宋体"/>
          <w:color w:val="000000" w:themeColor="text1"/>
          <w:kern w:val="24"/>
          <w:sz w:val="21"/>
          <w:szCs w:val="21"/>
          <w14:textFill>
            <w14:solidFill>
              <w14:schemeClr w14:val="tx1"/>
            </w14:solidFill>
          </w14:textFill>
        </w:rPr>
      </w:pPr>
      <w:bookmarkStart w:id="135" w:name="_Toc276466170"/>
      <w:bookmarkStart w:id="136" w:name="_Toc276644076"/>
      <w:r>
        <w:rPr>
          <w:rFonts w:hint="eastAsia" w:ascii="宋体" w:hAnsi="宋体" w:cs="宋体"/>
          <w:color w:val="000000" w:themeColor="text1"/>
          <w:kern w:val="24"/>
          <w:sz w:val="21"/>
          <w:szCs w:val="21"/>
          <w14:textFill>
            <w14:solidFill>
              <w14:schemeClr w14:val="tx1"/>
            </w14:solidFill>
          </w14:textFill>
        </w:rPr>
        <w:t>3、检测成果及服务</w:t>
      </w:r>
      <w:bookmarkEnd w:id="131"/>
      <w:bookmarkEnd w:id="132"/>
      <w:bookmarkEnd w:id="133"/>
      <w:bookmarkEnd w:id="134"/>
      <w:bookmarkEnd w:id="135"/>
      <w:bookmarkEnd w:id="136"/>
    </w:p>
    <w:p>
      <w:pPr>
        <w:pStyle w:val="5"/>
        <w:pageBreakBefore w:val="0"/>
        <w:widowControl w:val="0"/>
        <w:kinsoku/>
        <w:wordWrap/>
        <w:overflowPunct/>
        <w:topLinePunct w:val="0"/>
        <w:bidi w:val="0"/>
        <w:adjustRightInd w:val="0"/>
        <w:snapToGrid w:val="0"/>
        <w:spacing w:before="0" w:after="0" w:line="360" w:lineRule="auto"/>
        <w:ind w:left="0" w:leftChars="0" w:firstLine="424" w:firstLineChars="200"/>
        <w:rPr>
          <w:rFonts w:ascii="宋体" w:hAnsi="宋体" w:cs="宋体"/>
          <w:b w:val="0"/>
          <w:color w:val="000000" w:themeColor="text1"/>
          <w:kern w:val="24"/>
          <w:sz w:val="21"/>
          <w:szCs w:val="21"/>
          <w14:textFill>
            <w14:solidFill>
              <w14:schemeClr w14:val="tx1"/>
            </w14:solidFill>
          </w14:textFill>
        </w:rPr>
      </w:pPr>
      <w:r>
        <w:rPr>
          <w:rFonts w:hint="eastAsia" w:ascii="宋体" w:hAnsi="宋体" w:cs="宋体"/>
          <w:b w:val="0"/>
          <w:color w:val="000000" w:themeColor="text1"/>
          <w:kern w:val="24"/>
          <w:sz w:val="21"/>
          <w:szCs w:val="21"/>
          <w14:textFill>
            <w14:solidFill>
              <w14:schemeClr w14:val="tx1"/>
            </w14:solidFill>
          </w14:textFill>
        </w:rPr>
        <w:t>（1）检测人员须常驻现场，根据工程进展需要及时开展检测工作。</w:t>
      </w:r>
      <w:r>
        <w:rPr>
          <w:rFonts w:hint="eastAsia" w:ascii="宋体" w:hAnsi="宋体" w:cs="宋体"/>
          <w:b w:val="0"/>
          <w:color w:val="000000" w:themeColor="text1"/>
          <w:spacing w:val="6"/>
          <w:sz w:val="21"/>
          <w:szCs w:val="21"/>
          <w14:textFill>
            <w14:solidFill>
              <w14:schemeClr w14:val="tx1"/>
            </w14:solidFill>
          </w14:textFill>
        </w:rPr>
        <w:t>在接到甲方口头或书面进场通知时，应在48小时内进场</w:t>
      </w:r>
      <w:r>
        <w:rPr>
          <w:rFonts w:hint="eastAsia" w:ascii="宋体" w:hAnsi="宋体" w:cs="宋体"/>
          <w:b w:val="0"/>
          <w:color w:val="000000" w:themeColor="text1"/>
          <w:spacing w:val="2"/>
          <w:sz w:val="21"/>
          <w:szCs w:val="21"/>
          <w14:textFill>
            <w14:solidFill>
              <w14:schemeClr w14:val="tx1"/>
            </w14:solidFill>
          </w14:textFill>
        </w:rPr>
        <w:t>检</w:t>
      </w:r>
      <w:r>
        <w:rPr>
          <w:rFonts w:hint="eastAsia" w:ascii="宋体" w:hAnsi="宋体" w:cs="宋体"/>
          <w:b w:val="0"/>
          <w:color w:val="000000" w:themeColor="text1"/>
          <w:spacing w:val="4"/>
          <w:sz w:val="21"/>
          <w:szCs w:val="21"/>
          <w14:textFill>
            <w14:solidFill>
              <w14:schemeClr w14:val="tx1"/>
            </w14:solidFill>
          </w14:textFill>
        </w:rPr>
        <w:t>测(不可抗力因素除外)。 在接到甲方口头或书面退场通知时，应在48小时内完成检</w:t>
      </w:r>
      <w:r>
        <w:rPr>
          <w:rFonts w:hint="eastAsia" w:ascii="宋体" w:hAnsi="宋体" w:cs="宋体"/>
          <w:b w:val="0"/>
          <w:color w:val="000000" w:themeColor="text1"/>
          <w:spacing w:val="3"/>
          <w:sz w:val="21"/>
          <w:szCs w:val="21"/>
          <w14:textFill>
            <w14:solidFill>
              <w14:schemeClr w14:val="tx1"/>
            </w14:solidFill>
          </w14:textFill>
        </w:rPr>
        <w:t>测</w:t>
      </w:r>
      <w:r>
        <w:rPr>
          <w:rFonts w:hint="eastAsia" w:ascii="宋体" w:hAnsi="宋体" w:cs="宋体"/>
          <w:b w:val="0"/>
          <w:color w:val="000000" w:themeColor="text1"/>
          <w:spacing w:val="1"/>
          <w:sz w:val="21"/>
          <w:szCs w:val="21"/>
          <w14:textFill>
            <w14:solidFill>
              <w14:schemeClr w14:val="tx1"/>
            </w14:solidFill>
          </w14:textFill>
        </w:rPr>
        <w:t>设备的退场(不可抗力因素除外) 。若乙方未达到以上要</w:t>
      </w:r>
      <w:r>
        <w:rPr>
          <w:rFonts w:hint="eastAsia" w:ascii="宋体" w:hAnsi="宋体" w:cs="宋体"/>
          <w:b w:val="0"/>
          <w:color w:val="000000" w:themeColor="text1"/>
          <w:sz w:val="21"/>
          <w:szCs w:val="21"/>
          <w14:textFill>
            <w14:solidFill>
              <w14:schemeClr w14:val="tx1"/>
            </w14:solidFill>
          </w14:textFill>
        </w:rPr>
        <w:t>求，则给予每次3000元的处罚。罚款金额可在检测费用中予以扣除。</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（2）检测工作必须接受采购人委托的监理单位的见证检测，按照施工单位报检计划和监理指令进行检测，及时提供中间检测结果、正式检测报告。</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1）每个检测项目完成后15天内提交正式中间成果报告肆份，并附电子版；</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2）全部检测工作结束后两周内提交全部正式检测成果报告捌份，并附电子版。</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（3）正式检测报告原件至少一式肆份，由检测人员、审核人员、检测负责人等签字，并加盖检测专用章、CMA章。如采购人需要增加检测报告原件份数时，中标人应无偿如数提交。</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（4）检测报告一经出具，不得随意更改。如有特殊情况确需更改，必须取得监理工程师的认可，报采购人备案并通报施工单位。</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（5）如因检测单位自身的原因导致检测工作延误影响正常施工，检测单位应承担相应的赔偿责任。</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6）检测不合格的基桩，由施工单位负责按相关规范要求进行处理或返工，经监理工程师认可后，报检测单位重新检测。对检测结果如有争议且不能达成一致时，则由采购人委托第三方检测机构进行复测，费用由责任方承担。</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（7）检测过程中应遵守施工现场安全和文明施工相关管理规定。</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b/>
          <w:bCs/>
          <w:color w:val="000000" w:themeColor="text1"/>
          <w:kern w:val="24"/>
          <w:szCs w:val="21"/>
          <w14:textFill>
            <w14:solidFill>
              <w14:schemeClr w14:val="tx1"/>
            </w14:solidFill>
          </w14:textFill>
        </w:rPr>
      </w:pPr>
      <w:r>
        <w:rPr>
          <w:rFonts w:hint="eastAsia" w:ascii="宋体" w:hAnsi="宋体" w:cs="宋体"/>
          <w:b/>
          <w:bCs/>
          <w:color w:val="000000" w:themeColor="text1"/>
          <w:kern w:val="24"/>
          <w:szCs w:val="21"/>
          <w14:textFill>
            <w14:solidFill>
              <w14:schemeClr w14:val="tx1"/>
            </w14:solidFill>
          </w14:textFill>
        </w:rPr>
        <w:t>4、检测要求</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color w:val="000000" w:themeColor="text1"/>
          <w:kern w:val="24"/>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1）检测单位必须根据设计施工图纸中注明的检测要求，对已完工的工程内容按照国家规定的检测规范和标准进行建设工程质量检测，出具国家及江西省地方相关部门认可的检测报告，所有检测工作须符合国家法律、法规及省、市有关文件要求。</w:t>
      </w:r>
    </w:p>
    <w:p>
      <w:pPr>
        <w:pStyle w:val="105"/>
        <w:pageBreakBefore w:val="0"/>
        <w:widowControl w:val="0"/>
        <w:kinsoku/>
        <w:wordWrap/>
        <w:overflowPunct/>
        <w:topLinePunct w:val="0"/>
        <w:bidi w:val="0"/>
        <w:adjustRightInd w:val="0"/>
        <w:snapToGrid w:val="0"/>
        <w:spacing w:line="360" w:lineRule="auto"/>
        <w:ind w:left="0" w:leftChars="0" w:firstLine="426"/>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kern w:val="24"/>
          <w:szCs w:val="21"/>
          <w14:textFill>
            <w14:solidFill>
              <w14:schemeClr w14:val="tx1"/>
            </w14:solidFill>
          </w14:textFill>
        </w:rPr>
        <w:t>（2）检测单位应根据上述工程静载荷试验等检测内容与技术要求编制详尽的检测方案，并提交设计院及采购人确认后方可执行，深化方案需提供可编辑电子文档。</w:t>
      </w:r>
    </w:p>
    <w:p>
      <w:pPr>
        <w:pStyle w:val="105"/>
        <w:pageBreakBefore w:val="0"/>
        <w:widowControl w:val="0"/>
        <w:kinsoku/>
        <w:wordWrap/>
        <w:overflowPunct/>
        <w:topLinePunct w:val="0"/>
        <w:bidi w:val="0"/>
        <w:adjustRightInd w:val="0"/>
        <w:snapToGrid w:val="0"/>
        <w:spacing w:line="360" w:lineRule="auto"/>
        <w:ind w:left="0" w:leftChars="0" w:firstLine="0" w:firstLineChars="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四、商务要求</w:t>
      </w:r>
    </w:p>
    <w:p>
      <w:pPr>
        <w:pageBreakBefore w:val="0"/>
        <w:widowControl w:val="0"/>
        <w:kinsoku/>
        <w:wordWrap/>
        <w:overflowPunct/>
        <w:topLinePunct w:val="0"/>
        <w:bidi w:val="0"/>
        <w:adjustRightInd w:val="0"/>
        <w:snapToGrid w:val="0"/>
        <w:spacing w:line="360" w:lineRule="auto"/>
        <w:ind w:left="0" w:leftChars="0"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s="宋体"/>
          <w:bCs/>
          <w:color w:val="000000" w:themeColor="text1"/>
          <w:szCs w:val="21"/>
          <w14:textFill>
            <w14:solidFill>
              <w14:schemeClr w14:val="tx1"/>
            </w14:solidFill>
          </w14:textFill>
        </w:rPr>
        <w:t>服务地点：采购人指定地点。</w:t>
      </w:r>
    </w:p>
    <w:p>
      <w:pPr>
        <w:pageBreakBefore w:val="0"/>
        <w:widowControl w:val="0"/>
        <w:kinsoku/>
        <w:wordWrap/>
        <w:overflowPunct/>
        <w:topLinePunct w:val="0"/>
        <w:bidi w:val="0"/>
        <w:adjustRightInd w:val="0"/>
        <w:snapToGrid w:val="0"/>
        <w:spacing w:line="360" w:lineRule="auto"/>
        <w:ind w:left="0" w:leftChars="0" w:firstLine="424" w:firstLineChars="200"/>
        <w:jc w:val="lef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服务期限</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从检测单位进场至所有服务项目完成，服务周期必须满足实际施工要求和验收要求，具体开工时间以采购人书面通知或合同约定为准。因采购人原因或现场不具备作业条件，检测时间顺延。</w:t>
      </w:r>
    </w:p>
    <w:p>
      <w:pPr>
        <w:pageBreakBefore w:val="0"/>
        <w:widowControl w:val="0"/>
        <w:kinsoku/>
        <w:wordWrap/>
        <w:overflowPunct/>
        <w:topLinePunct w:val="0"/>
        <w:bidi w:val="0"/>
        <w:adjustRightInd w:val="0"/>
        <w:snapToGrid w:val="0"/>
        <w:spacing w:line="360" w:lineRule="auto"/>
        <w:ind w:left="0" w:leftChars="0" w:firstLine="424" w:firstLineChars="200"/>
        <w:jc w:val="lef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3、付款方式：</w:t>
      </w:r>
      <w:r>
        <w:rPr>
          <w:rFonts w:hint="eastAsia" w:ascii="宋体" w:hAnsi="宋体" w:cs="宋体"/>
          <w:color w:val="000000" w:themeColor="text1"/>
          <w:szCs w:val="21"/>
          <w14:textFill>
            <w14:solidFill>
              <w14:schemeClr w14:val="tx1"/>
            </w14:solidFill>
          </w14:textFill>
        </w:rPr>
        <w:t>地基基础检测服务完成并经过建筑行业主管部门验收合格</w:t>
      </w:r>
      <w:r>
        <w:rPr>
          <w:rFonts w:hint="eastAsia" w:ascii="宋体" w:hAnsi="宋体" w:cs="宋体"/>
          <w:bCs/>
          <w:color w:val="000000" w:themeColor="text1"/>
          <w:kern w:val="0"/>
          <w:szCs w:val="21"/>
          <w14:textFill>
            <w14:solidFill>
              <w14:schemeClr w14:val="tx1"/>
            </w14:solidFill>
          </w14:textFill>
        </w:rPr>
        <w:t>后，支付实际已完成检测费用金额的70%，</w:t>
      </w:r>
      <w:r>
        <w:rPr>
          <w:rFonts w:hint="eastAsia" w:ascii="宋体" w:hAnsi="宋体" w:cs="宋体"/>
          <w:color w:val="000000" w:themeColor="text1"/>
          <w:szCs w:val="21"/>
          <w14:textFill>
            <w14:solidFill>
              <w14:schemeClr w14:val="tx1"/>
            </w14:solidFill>
          </w14:textFill>
        </w:rPr>
        <w:t>提交全部正式检测报告且工程综合验收合格后一个月内全部付清剩余检测费用（双方据实结算，不计息）</w:t>
      </w:r>
      <w:r>
        <w:rPr>
          <w:rFonts w:hint="eastAsia" w:ascii="宋体" w:hAnsi="宋体" w:cs="宋体"/>
          <w:bCs/>
          <w:color w:val="000000" w:themeColor="text1"/>
          <w:kern w:val="0"/>
          <w:szCs w:val="21"/>
          <w14:textFill>
            <w14:solidFill>
              <w14:schemeClr w14:val="tx1"/>
            </w14:solidFill>
          </w14:textFill>
        </w:rPr>
        <w:t>。</w:t>
      </w:r>
    </w:p>
    <w:p>
      <w:pPr>
        <w:pageBreakBefore w:val="0"/>
        <w:widowControl w:val="0"/>
        <w:kinsoku/>
        <w:wordWrap/>
        <w:overflowPunct/>
        <w:topLinePunct w:val="0"/>
        <w:bidi w:val="0"/>
        <w:adjustRightInd w:val="0"/>
        <w:snapToGrid w:val="0"/>
        <w:spacing w:line="360" w:lineRule="auto"/>
        <w:ind w:left="0" w:leftChars="0"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4、质量标准：符合国家现行技术标准和规范的要求。</w:t>
      </w:r>
    </w:p>
    <w:p>
      <w:pPr>
        <w:pageBreakBefore w:val="0"/>
        <w:widowControl w:val="0"/>
        <w:kinsoku/>
        <w:wordWrap/>
        <w:overflowPunct/>
        <w:topLinePunct w:val="0"/>
        <w:bidi w:val="0"/>
        <w:adjustRightInd w:val="0"/>
        <w:snapToGrid w:val="0"/>
        <w:spacing w:line="360" w:lineRule="auto"/>
        <w:ind w:left="0" w:leftChars="0"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5、投标报价：本项目报价</w:t>
      </w:r>
      <w:r>
        <w:rPr>
          <w:rFonts w:hint="eastAsia" w:ascii="宋体" w:hAnsi="宋体" w:cs="仿宋"/>
          <w:color w:val="000000" w:themeColor="text1"/>
          <w14:textFill>
            <w14:solidFill>
              <w14:schemeClr w14:val="tx1"/>
            </w14:solidFill>
          </w14:textFill>
        </w:rPr>
        <w:t>为完成采购人检测工作的检测费、顾问费、文本制作费及检测过程中的配合服务费等所有费用。</w:t>
      </w:r>
      <w:r>
        <w:rPr>
          <w:rFonts w:hint="eastAsia" w:ascii="宋体" w:hAnsi="宋体" w:cs="宋体"/>
          <w:color w:val="000000" w:themeColor="text1"/>
          <w:szCs w:val="21"/>
          <w14:textFill>
            <w14:solidFill>
              <w14:schemeClr w14:val="tx1"/>
            </w14:solidFill>
          </w14:textFill>
        </w:rPr>
        <w:t>包含机械进出场费、机械安拆费、文明施工措施费、人工费、油料费、保险费、管理费、规费、利润、税金、以及与本次检测作业有关的</w:t>
      </w:r>
      <w:r>
        <w:rPr>
          <w:rFonts w:hint="eastAsia" w:ascii="宋体" w:hAnsi="宋体" w:cs="仿宋"/>
          <w:color w:val="000000" w:themeColor="text1"/>
          <w14:textFill>
            <w14:solidFill>
              <w14:schemeClr w14:val="tx1"/>
            </w14:solidFill>
          </w14:textFill>
        </w:rPr>
        <w:t>现场踏勘</w:t>
      </w:r>
      <w:r>
        <w:rPr>
          <w:rFonts w:hint="eastAsia" w:ascii="宋体" w:hAnsi="宋体" w:cs="宋体"/>
          <w:color w:val="000000" w:themeColor="text1"/>
          <w:szCs w:val="21"/>
          <w14:textFill>
            <w14:solidFill>
              <w14:schemeClr w14:val="tx1"/>
            </w14:solidFill>
          </w14:textFill>
        </w:rPr>
        <w:t>、取样、试验、测试、检测、制作检测报告、认证等所需全部费用。在合同实施期间，检测费用综合单价不随国家政策或法规、 标准及市场因素的变化而进行调整，检测数量以采购人和监理单位等相关单位确认的实际发生检测数量为准。</w:t>
      </w:r>
    </w:p>
    <w:p>
      <w:pPr>
        <w:pageBreakBefore w:val="0"/>
        <w:widowControl w:val="0"/>
        <w:kinsoku/>
        <w:wordWrap/>
        <w:overflowPunct/>
        <w:topLinePunct w:val="0"/>
        <w:bidi w:val="0"/>
        <w:adjustRightInd w:val="0"/>
        <w:snapToGrid w:val="0"/>
        <w:spacing w:line="360" w:lineRule="auto"/>
        <w:ind w:left="0" w:leftChars="0"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s="宋体"/>
          <w:bCs/>
          <w:color w:val="000000" w:themeColor="text1"/>
          <w:szCs w:val="21"/>
          <w14:textFill>
            <w14:solidFill>
              <w14:schemeClr w14:val="tx1"/>
            </w14:solidFill>
          </w14:textFill>
        </w:rPr>
        <w:t>由于投标人提供的检测成果资料质量不合格，投标人应负责无偿给予补充完善使其达到质量合格；若因检测质量造成重大经济损失或工程事故时，投标人除应负法律责任外，并根据损失程度向采购人支付赔偿金，赔偿金由采购人、投标人商定</w:t>
      </w:r>
      <w:r>
        <w:rPr>
          <w:rFonts w:hint="eastAsia" w:ascii="宋体" w:hAnsi="宋体" w:cs="宋体"/>
          <w:color w:val="000000" w:themeColor="text1"/>
          <w:szCs w:val="21"/>
          <w14:textFill>
            <w14:solidFill>
              <w14:schemeClr w14:val="tx1"/>
            </w14:solidFill>
          </w14:textFill>
        </w:rPr>
        <w:t>。</w:t>
      </w:r>
    </w:p>
    <w:p>
      <w:pPr>
        <w:pageBreakBefore w:val="0"/>
        <w:widowControl w:val="0"/>
        <w:kinsoku/>
        <w:wordWrap/>
        <w:overflowPunct/>
        <w:topLinePunct w:val="0"/>
        <w:bidi w:val="0"/>
        <w:adjustRightInd w:val="0"/>
        <w:snapToGrid w:val="0"/>
        <w:spacing w:line="360" w:lineRule="auto"/>
        <w:ind w:left="0" w:leftChars="0"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7、其他说明事项：</w:t>
      </w:r>
    </w:p>
    <w:p>
      <w:pPr>
        <w:pStyle w:val="3"/>
        <w:pageBreakBefore w:val="0"/>
        <w:widowControl w:val="0"/>
        <w:kinsoku/>
        <w:wordWrap/>
        <w:overflowPunct/>
        <w:topLinePunct w:val="0"/>
        <w:autoSpaceDE/>
        <w:autoSpaceDN/>
        <w:bidi w:val="0"/>
        <w:adjustRightInd w:val="0"/>
        <w:snapToGrid w:val="0"/>
        <w:spacing w:before="0" w:line="360" w:lineRule="auto"/>
        <w:ind w:left="0" w:leftChars="0" w:firstLine="424"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（1）投标人在开标截止时间前，可自行踏勘现场，有关费用自理，踏勘期间发生的意外自负。</w:t>
      </w:r>
    </w:p>
    <w:p>
      <w:pPr>
        <w:pStyle w:val="3"/>
        <w:pageBreakBefore w:val="0"/>
        <w:widowControl w:val="0"/>
        <w:kinsoku/>
        <w:wordWrap/>
        <w:overflowPunct/>
        <w:topLinePunct w:val="0"/>
        <w:autoSpaceDE/>
        <w:autoSpaceDN/>
        <w:bidi w:val="0"/>
        <w:adjustRightInd w:val="0"/>
        <w:snapToGrid w:val="0"/>
        <w:spacing w:before="0" w:line="360" w:lineRule="auto"/>
        <w:ind w:left="0" w:leftChars="0" w:firstLine="424" w:firstLineChars="20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（2）</w:t>
      </w:r>
      <w:r>
        <w:rPr>
          <w:rFonts w:hint="eastAsia" w:hAnsi="宋体" w:cs="仿宋"/>
          <w:bCs/>
          <w:color w:val="000000" w:themeColor="text1"/>
          <w:sz w:val="21"/>
          <w:szCs w:val="21"/>
          <w14:textFill>
            <w14:solidFill>
              <w14:schemeClr w14:val="tx1"/>
            </w14:solidFill>
          </w14:textFill>
        </w:rPr>
        <w:t>拟派检测工作人员应在“江西住建云平台”－“住建云信息登记系统”中可以查询，并提供截图证明加盖投标单位公章。</w:t>
      </w:r>
    </w:p>
    <w:p>
      <w:pPr>
        <w:pageBreakBefore w:val="0"/>
        <w:widowControl w:val="0"/>
        <w:kinsoku/>
        <w:wordWrap/>
        <w:overflowPunct/>
        <w:topLinePunct w:val="0"/>
        <w:bidi w:val="0"/>
        <w:adjustRightInd w:val="0"/>
        <w:snapToGrid w:val="0"/>
        <w:spacing w:line="360" w:lineRule="auto"/>
        <w:ind w:left="0" w:left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（3）中标人未经采购人同意，不得变更拟派的项目工作人员；否则，采购人有权终止合同</w:t>
      </w:r>
    </w:p>
    <w:p>
      <w:pPr>
        <w:pageBreakBefore w:val="0"/>
        <w:widowControl w:val="0"/>
        <w:kinsoku/>
        <w:wordWrap/>
        <w:overflowPunct/>
        <w:topLinePunct w:val="0"/>
        <w:bidi w:val="0"/>
        <w:adjustRightInd w:val="0"/>
        <w:snapToGrid w:val="0"/>
        <w:spacing w:line="360" w:lineRule="auto"/>
        <w:ind w:left="0" w:leftChars="0" w:firstLine="424"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hint="eastAsia" w:hAnsi="宋体"/>
          <w:color w:val="000000" w:themeColor="text1"/>
          <w:szCs w:val="21"/>
          <w14:textFill>
            <w14:solidFill>
              <w14:schemeClr w14:val="tx1"/>
            </w14:solidFill>
          </w14:textFill>
        </w:rPr>
        <w:t>中标人须加强施工现场的组织管理，所有派驻的检测工作人员必须严格遵守安全文明施工的有关规章制度和采购人规定的相关制度。</w:t>
      </w:r>
      <w:r>
        <w:rPr>
          <w:rFonts w:hint="eastAsia" w:ascii="宋体" w:hAnsi="宋体" w:cs="宋体"/>
          <w:color w:val="000000" w:themeColor="text1"/>
          <w:szCs w:val="21"/>
          <w14:textFill>
            <w14:solidFill>
              <w14:schemeClr w14:val="tx1"/>
            </w14:solidFill>
          </w14:textFill>
        </w:rPr>
        <w:t>中标人在项目实施或服务过程中发生的重大人员、质量、交通事故，或因中标人管理不善等原因造成的人员伤亡等责任事故均由中标人负责，采购人不承担任何法律及经济责任。</w:t>
      </w:r>
    </w:p>
    <w:p>
      <w:pPr>
        <w:pageBreakBefore w:val="0"/>
        <w:widowControl w:val="0"/>
        <w:kinsoku/>
        <w:wordWrap/>
        <w:overflowPunct/>
        <w:topLinePunct w:val="0"/>
        <w:bidi w:val="0"/>
        <w:adjustRightInd w:val="0"/>
        <w:snapToGrid w:val="0"/>
        <w:spacing w:line="360" w:lineRule="auto"/>
        <w:ind w:left="0" w:leftChars="0" w:firstLine="424" w:firstLineChars="200"/>
        <w:jc w:val="lef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8、商业保密条款</w:t>
      </w:r>
    </w:p>
    <w:p>
      <w:pPr>
        <w:pageBreakBefore w:val="0"/>
        <w:widowControl w:val="0"/>
        <w:kinsoku/>
        <w:wordWrap/>
        <w:overflowPunct/>
        <w:topLinePunct w:val="0"/>
        <w:bidi w:val="0"/>
        <w:adjustRightInd w:val="0"/>
        <w:snapToGrid w:val="0"/>
        <w:spacing w:line="360" w:lineRule="auto"/>
        <w:ind w:left="0" w:leftChars="0" w:firstLine="424" w:firstLineChars="200"/>
        <w:jc w:val="lef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项目履行过程中，投标人应对本项目严格保密，不得泄露信息，如有违反需承担相应法律责任，采购人保留追诉投标人相关过错的权利。投标人应保证采购人在使用该服务或其任何一部分时不受第三方提出的侵犯专利权、著作权、商标权和工业设计权等的起诉。如果任何第三方提出侵权指控，投标人须与第三方交涉并承担由此发生的一切责任、费用和经济赔偿。</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9、验收</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（1）交付验收标准：依次序对照适用标准为：</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①符合中华人民共和国国家相关行业标准。</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②符合采购文件和投标承诺中采购人认可的合理最佳服务技术要求。</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上述标准必须是有关官方机构发布的最新版本的标准。</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2）中标人须为验收提供必需的设备、工具及其他便利条件。</w:t>
      </w:r>
    </w:p>
    <w:p>
      <w:pPr>
        <w:pageBreakBefore w:val="0"/>
        <w:widowControl w:val="0"/>
        <w:kinsoku/>
        <w:wordWrap/>
        <w:overflowPunct/>
        <w:topLinePunct w:val="0"/>
        <w:bidi w:val="0"/>
        <w:adjustRightInd w:val="0"/>
        <w:snapToGrid w:val="0"/>
        <w:spacing w:line="360" w:lineRule="auto"/>
        <w:ind w:left="0" w:leftChars="0" w:firstLine="424" w:firstLineChars="200"/>
        <w:rPr>
          <w:rFonts w:asci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3）在验收过程中发现数量不足或有质量、技术等问题，中标人应负责按照采购人的要求采取补足等措施妥善处理，并承担由此发生的一切费用和损失。</w:t>
      </w:r>
    </w:p>
    <w:p>
      <w:pPr>
        <w:pageBreakBefore w:val="0"/>
        <w:widowControl w:val="0"/>
        <w:kinsoku/>
        <w:wordWrap/>
        <w:overflowPunct/>
        <w:topLinePunct w:val="0"/>
        <w:autoSpaceDE w:val="0"/>
        <w:autoSpaceDN w:val="0"/>
        <w:bidi w:val="0"/>
        <w:adjustRightInd w:val="0"/>
        <w:snapToGrid w:val="0"/>
        <w:spacing w:line="360" w:lineRule="auto"/>
        <w:ind w:left="0" w:leftChars="0"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4）验收所产生的一切费用（含所有检测费用、验收费）由中标人全部承担。</w:t>
      </w:r>
    </w:p>
    <w:p>
      <w:pPr>
        <w:pageBreakBefore w:val="0"/>
        <w:widowControl w:val="0"/>
        <w:kinsoku/>
        <w:wordWrap/>
        <w:overflowPunct/>
        <w:topLinePunct w:val="0"/>
        <w:autoSpaceDE w:val="0"/>
        <w:autoSpaceDN w:val="0"/>
        <w:bidi w:val="0"/>
        <w:adjustRightInd w:val="0"/>
        <w:snapToGrid w:val="0"/>
        <w:spacing w:line="360" w:lineRule="auto"/>
        <w:ind w:left="0" w:leftChars="0" w:firstLine="424"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10、未尽事宜，请与采购人联系，以检测服务合同签订要求为准。</w:t>
      </w:r>
      <w:r>
        <w:rPr>
          <w:rFonts w:hint="eastAsia" w:ascii="宋体" w:hAnsi="宋体" w:cs="宋体"/>
          <w:color w:val="000000" w:themeColor="text1"/>
          <w:kern w:val="0"/>
          <w:szCs w:val="21"/>
          <w14:textFill>
            <w14:solidFill>
              <w14:schemeClr w14:val="tx1"/>
            </w14:solidFill>
          </w14:textFill>
        </w:rPr>
        <w:br w:type="page"/>
      </w:r>
    </w:p>
    <w:bookmarkEnd w:id="124"/>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附：评标细则及标准（综合评分法） </w:t>
      </w:r>
    </w:p>
    <w:tbl>
      <w:tblPr>
        <w:tblStyle w:val="24"/>
        <w:tblpPr w:leftFromText="180" w:rightFromText="180" w:vertAnchor="text" w:horzAnchor="page" w:tblpXSpec="center" w:tblpY="302"/>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069"/>
        <w:gridCol w:w="6177"/>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147"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评分项目</w:t>
            </w:r>
          </w:p>
        </w:tc>
        <w:tc>
          <w:tcPr>
            <w:tcW w:w="6177"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评分细则</w:t>
            </w:r>
          </w:p>
        </w:tc>
        <w:tc>
          <w:tcPr>
            <w:tcW w:w="747"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7" w:type="dxa"/>
            <w:gridSpan w:val="2"/>
            <w:tcBorders>
              <w:tl2br w:val="nil"/>
              <w:tr2bl w:val="nil"/>
            </w:tcBorders>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p>
            <w:pPr>
              <w:keepNext w:val="0"/>
              <w:keepLines w:val="0"/>
              <w:pageBreakBefore w:val="0"/>
              <w:widowControl/>
              <w:kinsoku/>
              <w:wordWrap w:val="0"/>
              <w:overflowPunct/>
              <w:topLinePunct w:val="0"/>
              <w:autoSpaceDE/>
              <w:autoSpaceDN/>
              <w:bidi w:val="0"/>
              <w:adjustRightInd w:val="0"/>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（20分）</w:t>
            </w:r>
          </w:p>
        </w:tc>
        <w:tc>
          <w:tcPr>
            <w:tcW w:w="6177" w:type="dxa"/>
            <w:tcBorders>
              <w:tl2br w:val="nil"/>
              <w:tr2bl w:val="nil"/>
            </w:tcBorders>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采用低价优先法计算，即满足招标文件要求且投标总价格最低的投标报价为评标基准价，其价格分为满分。其他投标人的价格分统一按下列公式计算： 投标报价得分=（评标基准价/投标报价）×价格权值（0.20）×100。 </w:t>
            </w:r>
          </w:p>
        </w:tc>
        <w:tc>
          <w:tcPr>
            <w:tcW w:w="747" w:type="dxa"/>
            <w:tcBorders>
              <w:tl2br w:val="nil"/>
              <w:tr2bl w:val="nil"/>
            </w:tcBorders>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8" w:type="dxa"/>
            <w:vMerge w:val="restart"/>
            <w:tcBorders>
              <w:tl2br w:val="nil"/>
              <w:tr2bl w:val="nil"/>
            </w:tcBorders>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技术部分（56分）</w:t>
            </w:r>
          </w:p>
        </w:tc>
        <w:tc>
          <w:tcPr>
            <w:tcW w:w="1069" w:type="dxa"/>
            <w:tcBorders>
              <w:tl2br w:val="nil"/>
              <w:tr2bl w:val="nil"/>
            </w:tcBorders>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基础分</w:t>
            </w:r>
          </w:p>
        </w:tc>
        <w:tc>
          <w:tcPr>
            <w:tcW w:w="6177" w:type="dxa"/>
            <w:tcBorders>
              <w:tl2br w:val="nil"/>
              <w:tr2bl w:val="nil"/>
            </w:tcBorders>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left"/>
              <w:textAlignment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完全响应招标文件服务要求的得34分，不满足视为无效投标。</w:t>
            </w:r>
          </w:p>
          <w:p>
            <w:pPr>
              <w:keepNext w:val="0"/>
              <w:keepLines w:val="0"/>
              <w:pageBreakBefore w:val="0"/>
              <w:widowControl/>
              <w:kinsoku/>
              <w:wordWrap w:val="0"/>
              <w:overflowPunct/>
              <w:topLinePunct w:val="0"/>
              <w:autoSpaceDE/>
              <w:autoSpaceDN/>
              <w:bidi w:val="0"/>
              <w:adjustRightInd w:val="0"/>
              <w:snapToGrid w:val="0"/>
              <w:spacing w:line="360" w:lineRule="auto"/>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评审依据：</w:t>
            </w:r>
            <w:r>
              <w:rPr>
                <w:rFonts w:hint="eastAsia" w:ascii="宋体" w:hAnsi="宋体" w:cs="宋体"/>
                <w:bCs/>
                <w:color w:val="000000" w:themeColor="text1"/>
                <w:kern w:val="0"/>
                <w:szCs w:val="21"/>
                <w14:textFill>
                  <w14:solidFill>
                    <w14:schemeClr w14:val="tx1"/>
                  </w14:solidFill>
                </w14:textFill>
              </w:rPr>
              <w:t>依据投标人投标文件中《服务要求响应/偏离表》。</w:t>
            </w:r>
          </w:p>
        </w:tc>
        <w:tc>
          <w:tcPr>
            <w:tcW w:w="747" w:type="dxa"/>
            <w:tcBorders>
              <w:tl2br w:val="nil"/>
              <w:tr2bl w:val="nil"/>
            </w:tcBorders>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8" w:type="dxa"/>
            <w:vMerge w:val="continue"/>
            <w:tcBorders>
              <w:tl2br w:val="nil"/>
              <w:tr2bl w:val="nil"/>
            </w:tcBorders>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ascii="宋体" w:hAnsi="宋体" w:cs="宋体"/>
                <w:color w:val="000000" w:themeColor="text1"/>
                <w:szCs w:val="21"/>
                <w14:textFill>
                  <w14:solidFill>
                    <w14:schemeClr w14:val="tx1"/>
                  </w14:solidFill>
                </w14:textFill>
              </w:rPr>
            </w:pPr>
          </w:p>
        </w:tc>
        <w:tc>
          <w:tcPr>
            <w:tcW w:w="1069"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360" w:lineRule="auto"/>
              <w:jc w:val="center"/>
              <w:rPr>
                <w:rFonts w:ascii="宋体" w:hAnsi="宋体" w:cs="宋体"/>
                <w:color w:val="000000" w:themeColor="text1"/>
                <w:szCs w:val="21"/>
                <w14:textFill>
                  <w14:solidFill>
                    <w14:schemeClr w14:val="tx1"/>
                  </w14:solidFill>
                </w14:textFill>
              </w:rPr>
            </w:pPr>
          </w:p>
          <w:p>
            <w:pPr>
              <w:keepNext w:val="0"/>
              <w:keepLines w:val="0"/>
              <w:pageBreakBefore w:val="0"/>
              <w:kinsoku/>
              <w:overflowPunct/>
              <w:topLinePunct w:val="0"/>
              <w:autoSpaceDE/>
              <w:autoSpaceDN/>
              <w:bidi w:val="0"/>
              <w:adjustRightInd w:val="0"/>
              <w:snapToGrid w:val="0"/>
              <w:spacing w:line="360" w:lineRule="auto"/>
              <w:jc w:val="center"/>
              <w:rPr>
                <w:rFonts w:ascii="宋体" w:hAnsi="宋体" w:cs="宋体"/>
                <w:color w:val="000000" w:themeColor="text1"/>
                <w:szCs w:val="21"/>
                <w14:textFill>
                  <w14:solidFill>
                    <w14:schemeClr w14:val="tx1"/>
                  </w14:solidFill>
                </w14:textFill>
              </w:rPr>
            </w:pPr>
          </w:p>
          <w:p>
            <w:pPr>
              <w:keepNext w:val="0"/>
              <w:keepLines w:val="0"/>
              <w:pageBreakBefore w:val="0"/>
              <w:kinsoku/>
              <w:overflowPunct/>
              <w:topLinePunct w:val="0"/>
              <w:autoSpaceDE/>
              <w:autoSpaceDN/>
              <w:bidi w:val="0"/>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检测服务方案</w:t>
            </w:r>
          </w:p>
        </w:tc>
        <w:tc>
          <w:tcPr>
            <w:tcW w:w="6177" w:type="dxa"/>
            <w:tcBorders>
              <w:tl2br w:val="nil"/>
              <w:tr2bl w:val="nil"/>
            </w:tcBorders>
          </w:tcPr>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投标人针对本项目提供检测服务方案，包含但不限于：①检测技术方案；②质量保证措施和检测重点难点解决方案措施；③检测进度计划及工期保证措施；④文明施工的技术组织措施和安全保证措施。</w:t>
            </w:r>
          </w:p>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1、投标人根据本项目要求提供检测技术方案包含但不限于检测措施、设备配置等内容（本项最高得10分，未提供者不得分）。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 方案全面详尽，拟投入检测设备齐备、检测工艺先进，检测手段操作性强，得10分；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 方案具体，检测设备配置相对合理，检测工艺符合行业标准，检测手段具有可操作性，得7分；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 方案简单，检测设备和检测工艺一般，检测手段能够满足项目基本要求，得4分。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2、投标人根据本项目要求对工作的重点与难点进行分析包含不限于项目质量保证、重难点分析及控制措施等内容（本项最高得4分，未提供者不得分）。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 项目重难点分析透彻，解决措施全面具体，质量控制力度强，得4分；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项目重难点分析合理，解决措施较完善，质量控制力度具有可操作性，得 2分；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 项目重难点分析一般、有解决方案的，质量控制力度满足项目基本要求，得 1 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3、投标人根据本项目要求对检测进度计划及工期保证措施提出方案，包含不限于检测进度安排和工期调度措施等内容（本项最高得4分，未提供者不得分）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 人员管理体系健全，检测进度把控得力，工期调度有备用调整方案，得4分；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 人员配置齐全，检测进度能够配合项目进展，工期调度方案合理，得2 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 人员配置合理，检测进度符合项目要求，工期调度针对性一般，得1分。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4、投标人根据本项目要求对文明施工的技术组织措施和安全保证措施提出方案，包含不限于文明施工措施和安全保障措施等内容（本项最高得4分，未提供者不得分）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 文明施工措施和安全保证措施完善可靠，可行性强,得4分；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 文明施工措施和安全保证措施符合行业要求，针对性较强,得 2 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 文明施工措施和安全保证措施一般，针对性一般得1 分。</w:t>
            </w:r>
          </w:p>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评审依据：</w:t>
            </w:r>
            <w:r>
              <w:rPr>
                <w:rFonts w:hint="eastAsia" w:ascii="宋体" w:hAnsi="宋体" w:cs="宋体"/>
                <w:bCs/>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提供检测服务方案。</w:t>
            </w:r>
          </w:p>
        </w:tc>
        <w:tc>
          <w:tcPr>
            <w:tcW w:w="747" w:type="dxa"/>
            <w:tcBorders>
              <w:tl2br w:val="nil"/>
              <w:tr2bl w:val="nil"/>
            </w:tcBorders>
            <w:vAlign w:val="center"/>
          </w:tcPr>
          <w:p>
            <w:pPr>
              <w:pStyle w:val="125"/>
              <w:keepNext w:val="0"/>
              <w:keepLines w:val="0"/>
              <w:pageBreakBefore w:val="0"/>
              <w:kinsoku/>
              <w:overflowPunct/>
              <w:topLinePunct w:val="0"/>
              <w:autoSpaceDE/>
              <w:autoSpaceDN/>
              <w:bidi w:val="0"/>
              <w:adjustRightInd w:val="0"/>
              <w:snapToGrid w:val="0"/>
              <w:spacing w:line="360" w:lineRule="auto"/>
              <w:rPr>
                <w:rFonts w:cs="宋体"/>
                <w:color w:val="000000" w:themeColor="text1"/>
                <w:sz w:val="21"/>
                <w:szCs w:val="21"/>
                <w14:textFill>
                  <w14:solidFill>
                    <w14:schemeClr w14:val="tx1"/>
                  </w14:solidFill>
                </w14:textFill>
              </w:rPr>
            </w:pPr>
          </w:p>
          <w:p>
            <w:pPr>
              <w:pStyle w:val="125"/>
              <w:keepNext w:val="0"/>
              <w:keepLines w:val="0"/>
              <w:pageBreakBefore w:val="0"/>
              <w:kinsoku/>
              <w:overflowPunct/>
              <w:topLinePunct w:val="0"/>
              <w:autoSpaceDE/>
              <w:autoSpaceDN/>
              <w:bidi w:val="0"/>
              <w:adjustRightInd w:val="0"/>
              <w:snapToGrid w:val="0"/>
              <w:spacing w:line="360" w:lineRule="auto"/>
              <w:rPr>
                <w:rFonts w:cs="宋体"/>
                <w:color w:val="000000" w:themeColor="text1"/>
                <w:sz w:val="21"/>
                <w:szCs w:val="21"/>
                <w14:textFill>
                  <w14:solidFill>
                    <w14:schemeClr w14:val="tx1"/>
                  </w14:solidFill>
                </w14:textFill>
              </w:rPr>
            </w:pPr>
          </w:p>
          <w:p>
            <w:pPr>
              <w:pStyle w:val="125"/>
              <w:keepNext w:val="0"/>
              <w:keepLines w:val="0"/>
              <w:pageBreakBefore w:val="0"/>
              <w:kinsoku/>
              <w:overflowPunct/>
              <w:topLinePunct w:val="0"/>
              <w:autoSpaceDE/>
              <w:autoSpaceDN/>
              <w:bidi w:val="0"/>
              <w:adjustRightInd w:val="0"/>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78" w:type="dxa"/>
            <w:vMerge w:val="restart"/>
            <w:tcBorders>
              <w:tl2br w:val="nil"/>
              <w:tr2bl w:val="nil"/>
            </w:tcBorders>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商务部分（24分）</w:t>
            </w:r>
          </w:p>
        </w:tc>
        <w:tc>
          <w:tcPr>
            <w:tcW w:w="1069"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拟派本项目人员</w:t>
            </w:r>
          </w:p>
        </w:tc>
        <w:tc>
          <w:tcPr>
            <w:tcW w:w="6177" w:type="dxa"/>
            <w:tcBorders>
              <w:tl2br w:val="nil"/>
              <w:tr2bl w:val="nil"/>
            </w:tcBorders>
          </w:tcPr>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1、拟派项目负责人</w:t>
            </w:r>
          </w:p>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（1）拟派驻本项目负责人具有建设工程类专业高级工程师证书的，得1分；</w:t>
            </w:r>
          </w:p>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拟派驻本项目负责人具有建设工程质量检测人员从业信息表（建筑节能检测、地基基础、见证取样、主体结构工程现场检测）或资格证书。项目负责人具有以上一项专业检测能力的，得1分；具有以上二项专业检测能力的，得2分；具有以上三项专业检测能力的，得3分；具有以上四项专业检测能力的，得4分；本项最高得4分。</w:t>
            </w:r>
          </w:p>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评审依据：</w:t>
            </w:r>
            <w:r>
              <w:rPr>
                <w:rFonts w:hint="eastAsia" w:ascii="宋体" w:hAnsi="宋体" w:cs="宋体"/>
                <w:color w:val="000000" w:themeColor="text1"/>
                <w:szCs w:val="21"/>
                <w14:textFill>
                  <w14:solidFill>
                    <w14:schemeClr w14:val="tx1"/>
                  </w14:solidFill>
                </w14:textFill>
              </w:rPr>
              <w:t>提供拟派项目负责人（1）职称证书扫描件加盖公章；（2）建设工程质量检测人员从业信息表或资格证书扫描件加盖公章；（3）开标前六个月中任意一个月（不含开标当月）社保证明扫描件加盖公章（若为退休人员则提供退休证及返聘合同扫描件加盖公章）。</w:t>
            </w:r>
          </w:p>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2、检测人员：</w:t>
            </w:r>
          </w:p>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派驻本项目的检测人员具有建设工程质量检测人员从业信息表（建筑节能检测、地基基础、见证取样、主体结构工程现场检测）或资格证书的，具有以上任意一项专业检测能力工作人员每提供1名得0.5分，本项最高得7分，一人多证不予重复加分。</w:t>
            </w:r>
          </w:p>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评审依据：</w:t>
            </w:r>
            <w:r>
              <w:rPr>
                <w:rFonts w:hint="eastAsia" w:ascii="宋体" w:hAnsi="宋体" w:cs="宋体"/>
                <w:color w:val="000000" w:themeColor="text1"/>
                <w:szCs w:val="21"/>
                <w14:textFill>
                  <w14:solidFill>
                    <w14:schemeClr w14:val="tx1"/>
                  </w14:solidFill>
                </w14:textFill>
              </w:rPr>
              <w:t>提供拟派检测工作人员（1）建设工程质量检测人员从业信息表或资格证书扫描件加盖公章；（2）开标前六个月中任意一个月（不含开标当月）社保证明扫描件加盖公章（若为退休人员则提供退休证及返聘合同扫描件加盖公章）。</w:t>
            </w:r>
          </w:p>
        </w:tc>
        <w:tc>
          <w:tcPr>
            <w:tcW w:w="747" w:type="dxa"/>
            <w:tcBorders>
              <w:tl2br w:val="nil"/>
              <w:tr2bl w:val="nil"/>
            </w:tcBorders>
            <w:vAlign w:val="center"/>
          </w:tcPr>
          <w:p>
            <w:pPr>
              <w:pStyle w:val="125"/>
              <w:keepNext w:val="0"/>
              <w:keepLines w:val="0"/>
              <w:pageBreakBefore w:val="0"/>
              <w:kinsoku/>
              <w:overflowPunct/>
              <w:topLinePunct w:val="0"/>
              <w:autoSpaceDE/>
              <w:autoSpaceDN/>
              <w:bidi w:val="0"/>
              <w:adjustRightInd w:val="0"/>
              <w:snapToGrid w:val="0"/>
              <w:spacing w:line="360" w:lineRule="auto"/>
              <w:rPr>
                <w:rFonts w:cs="宋体"/>
                <w:color w:val="000000" w:themeColor="text1"/>
                <w:sz w:val="21"/>
                <w:szCs w:val="21"/>
                <w14:textFill>
                  <w14:solidFill>
                    <w14:schemeClr w14:val="tx1"/>
                  </w14:solidFill>
                </w14:textFill>
              </w:rPr>
            </w:pPr>
          </w:p>
          <w:p>
            <w:pPr>
              <w:pStyle w:val="125"/>
              <w:keepNext w:val="0"/>
              <w:keepLines w:val="0"/>
              <w:pageBreakBefore w:val="0"/>
              <w:kinsoku/>
              <w:overflowPunct/>
              <w:topLinePunct w:val="0"/>
              <w:autoSpaceDE/>
              <w:autoSpaceDN/>
              <w:bidi w:val="0"/>
              <w:adjustRightInd w:val="0"/>
              <w:snapToGrid w:val="0"/>
              <w:spacing w:line="360" w:lineRule="auto"/>
              <w:rPr>
                <w:rFonts w:cs="宋体"/>
                <w:color w:val="000000" w:themeColor="text1"/>
                <w:sz w:val="21"/>
                <w:szCs w:val="21"/>
                <w14:textFill>
                  <w14:solidFill>
                    <w14:schemeClr w14:val="tx1"/>
                  </w14:solidFill>
                </w14:textFill>
              </w:rPr>
            </w:pPr>
          </w:p>
          <w:p>
            <w:pPr>
              <w:pStyle w:val="125"/>
              <w:keepNext w:val="0"/>
              <w:keepLines w:val="0"/>
              <w:pageBreakBefore w:val="0"/>
              <w:kinsoku/>
              <w:overflowPunct/>
              <w:topLinePunct w:val="0"/>
              <w:autoSpaceDE/>
              <w:autoSpaceDN/>
              <w:bidi w:val="0"/>
              <w:adjustRightInd w:val="0"/>
              <w:snapToGrid w:val="0"/>
              <w:spacing w:line="360" w:lineRule="auto"/>
              <w:rPr>
                <w:rFonts w:cs="宋体"/>
                <w:color w:val="000000" w:themeColor="text1"/>
                <w:sz w:val="21"/>
                <w:szCs w:val="21"/>
                <w14:textFill>
                  <w14:solidFill>
                    <w14:schemeClr w14:val="tx1"/>
                  </w14:solidFill>
                </w14:textFill>
              </w:rPr>
            </w:pPr>
          </w:p>
          <w:p>
            <w:pPr>
              <w:pStyle w:val="125"/>
              <w:keepNext w:val="0"/>
              <w:keepLines w:val="0"/>
              <w:pageBreakBefore w:val="0"/>
              <w:kinsoku/>
              <w:overflowPunct/>
              <w:topLinePunct w:val="0"/>
              <w:autoSpaceDE/>
              <w:autoSpaceDN/>
              <w:bidi w:val="0"/>
              <w:adjustRightInd w:val="0"/>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078" w:type="dxa"/>
            <w:vMerge w:val="continue"/>
            <w:tcBorders>
              <w:tl2br w:val="nil"/>
              <w:tr2bl w:val="nil"/>
            </w:tcBorders>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ascii="宋体" w:hAnsi="宋体" w:cs="宋体"/>
                <w:bCs/>
                <w:color w:val="000000" w:themeColor="text1"/>
                <w:kern w:val="0"/>
                <w:szCs w:val="21"/>
                <w14:textFill>
                  <w14:solidFill>
                    <w14:schemeClr w14:val="tx1"/>
                  </w14:solidFill>
                </w14:textFill>
              </w:rPr>
            </w:pPr>
          </w:p>
        </w:tc>
        <w:tc>
          <w:tcPr>
            <w:tcW w:w="1069"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类似业绩</w:t>
            </w:r>
          </w:p>
        </w:tc>
        <w:tc>
          <w:tcPr>
            <w:tcW w:w="6177"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投标人自2019年1月1日以来（以签订检测服务合同时间为准）承担过类似检测业绩</w:t>
            </w:r>
            <w:r>
              <w:rPr>
                <w:rFonts w:hint="eastAsia" w:ascii="宋体" w:hAnsi="宋体" w:cs="宋体"/>
                <w:b/>
                <w:bCs/>
                <w:color w:val="000000" w:themeColor="text1"/>
                <w:szCs w:val="21"/>
                <w14:textFill>
                  <w14:solidFill>
                    <w14:schemeClr w14:val="tx1"/>
                  </w14:solidFill>
                </w14:textFill>
              </w:rPr>
              <w:t>（单个检测服务合同必须包含桩基基础检测和主体结构检测和见证取样检测这3项检测服务内容）</w:t>
            </w:r>
            <w:r>
              <w:rPr>
                <w:rFonts w:hint="eastAsia" w:ascii="宋体" w:hAnsi="宋体" w:cs="宋体"/>
                <w:color w:val="000000" w:themeColor="text1"/>
                <w:szCs w:val="21"/>
                <w14:textFill>
                  <w14:solidFill>
                    <w14:schemeClr w14:val="tx1"/>
                  </w14:solidFill>
                </w14:textFill>
              </w:rPr>
              <w:t>，每提供一份得2分，本项最高得6分。</w:t>
            </w:r>
          </w:p>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评审依据：</w:t>
            </w:r>
            <w:r>
              <w:rPr>
                <w:rFonts w:hint="eastAsia" w:ascii="宋体" w:hAnsi="宋体" w:cs="宋体"/>
                <w:bCs/>
                <w:color w:val="000000" w:themeColor="text1"/>
                <w:szCs w:val="21"/>
                <w14:textFill>
                  <w14:solidFill>
                    <w14:schemeClr w14:val="tx1"/>
                  </w14:solidFill>
                </w14:textFill>
              </w:rPr>
              <w:t>提供检测服务合同扫描件，合同文本内容能够清晰反映项目名称、项目发包方、检测承包方、检测具体内容等关键信息。</w:t>
            </w:r>
          </w:p>
        </w:tc>
        <w:tc>
          <w:tcPr>
            <w:tcW w:w="747"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78" w:type="dxa"/>
            <w:vMerge w:val="continue"/>
            <w:tcBorders>
              <w:tl2br w:val="nil"/>
              <w:tr2bl w:val="nil"/>
            </w:tcBorders>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center"/>
              <w:rPr>
                <w:rFonts w:ascii="宋体" w:hAnsi="宋体" w:cs="宋体"/>
                <w:bCs/>
                <w:color w:val="000000" w:themeColor="text1"/>
                <w:kern w:val="0"/>
                <w:szCs w:val="21"/>
                <w14:textFill>
                  <w14:solidFill>
                    <w14:schemeClr w14:val="tx1"/>
                  </w14:solidFill>
                </w14:textFill>
              </w:rPr>
            </w:pPr>
          </w:p>
        </w:tc>
        <w:tc>
          <w:tcPr>
            <w:tcW w:w="1069"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检测资料归档服务方案</w:t>
            </w:r>
          </w:p>
        </w:tc>
        <w:tc>
          <w:tcPr>
            <w:tcW w:w="6177" w:type="dxa"/>
            <w:tcBorders>
              <w:tl2br w:val="nil"/>
              <w:tr2bl w:val="nil"/>
            </w:tcBorders>
          </w:tcPr>
          <w:p>
            <w:pPr>
              <w:keepNext w:val="0"/>
              <w:keepLines w:val="0"/>
              <w:pageBreakBefore w:val="0"/>
              <w:kinsoku/>
              <w:overflowPunct/>
              <w:topLinePunct w:val="0"/>
              <w:autoSpaceDE/>
              <w:autoSpaceDN/>
              <w:bidi w:val="0"/>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投标人根据本项目检测成果编制详细的检测资料归档服务方案，方案包括但不限于以下内容：材料整理保管流程和归档资料完整清晰等内容（本项最高得6分，未提供者不得分）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1、服务方案有明确清晰的资料归档制度，各项内容阐述完善合理，立卷留存技术先进，资料可保存完整持久，得6分；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2、服务方案有流畅的资料归档流程，各项内容阐述较合理，有完善的资料留存技术，符合行业规范，得4分；</w:t>
            </w:r>
          </w:p>
          <w:p>
            <w:pPr>
              <w:keepNext w:val="0"/>
              <w:keepLines w:val="0"/>
              <w:pageBreakBefore w:val="0"/>
              <w:kinsoku/>
              <w:overflowPunct/>
              <w:topLinePunct w:val="0"/>
              <w:autoSpaceDE/>
              <w:autoSpaceDN/>
              <w:bidi w:val="0"/>
              <w:adjustRightInd w:val="0"/>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3、服务方案有基本操作流程，各项技术措施一般，资料保存手段一般，得2分。</w:t>
            </w:r>
          </w:p>
          <w:p>
            <w:pPr>
              <w:keepNext w:val="0"/>
              <w:keepLines w:val="0"/>
              <w:pageBreakBefore w:val="0"/>
              <w:kinsoku/>
              <w:overflowPunct/>
              <w:topLinePunct w:val="0"/>
              <w:autoSpaceDE/>
              <w:autoSpaceDN/>
              <w:bidi w:val="0"/>
              <w:adjustRightInd w:val="0"/>
              <w:snapToGrid w:val="0"/>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评审依据:</w:t>
            </w:r>
            <w:r>
              <w:rPr>
                <w:rFonts w:hint="eastAsia" w:ascii="宋体" w:hAnsi="宋体" w:cs="宋体"/>
                <w:color w:val="000000" w:themeColor="text1"/>
                <w:szCs w:val="21"/>
                <w14:textFill>
                  <w14:solidFill>
                    <w14:schemeClr w14:val="tx1"/>
                  </w14:solidFill>
                </w14:textFill>
              </w:rPr>
              <w:t>提供的检测资料归档服务方案。</w:t>
            </w:r>
          </w:p>
        </w:tc>
        <w:tc>
          <w:tcPr>
            <w:tcW w:w="747"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6分</w:t>
            </w:r>
          </w:p>
        </w:tc>
      </w:tr>
    </w:tbl>
    <w:p>
      <w:pPr>
        <w:pStyle w:val="5"/>
        <w:adjustRightInd w:val="0"/>
        <w:snapToGrid w:val="0"/>
        <w:spacing w:before="0" w:after="0" w:line="360" w:lineRule="auto"/>
        <w:jc w:val="center"/>
        <w:rPr>
          <w:rFonts w:ascii="宋体" w:hAnsi="宋体" w:cs="宋体"/>
          <w:color w:val="000000" w:themeColor="text1"/>
          <w14:textFill>
            <w14:solidFill>
              <w14:schemeClr w14:val="tx1"/>
            </w14:solidFill>
          </w14:textFill>
        </w:rPr>
      </w:pPr>
    </w:p>
    <w:p>
      <w:pPr>
        <w:pStyle w:val="5"/>
        <w:adjustRightInd w:val="0"/>
        <w:snapToGrid w:val="0"/>
        <w:spacing w:before="0" w:after="0" w:line="360" w:lineRule="auto"/>
        <w:jc w:val="center"/>
        <w:rPr>
          <w:rFonts w:ascii="宋体" w:hAnsi="宋体" w:cs="宋体"/>
          <w:b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bCs w:val="0"/>
          <w:color w:val="000000" w:themeColor="text1"/>
          <w:sz w:val="28"/>
          <w:szCs w:val="28"/>
          <w14:textFill>
            <w14:solidFill>
              <w14:schemeClr w14:val="tx1"/>
            </w14:solidFill>
          </w14:textFill>
        </w:rPr>
        <w:t>【ABXZBZC202301075】招标文件的审批意见</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jc w:val="center"/>
        </w:trPr>
        <w:tc>
          <w:tcPr>
            <w:tcW w:w="1551" w:type="dxa"/>
            <w:vAlign w:val="center"/>
          </w:tcPr>
          <w:p>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w:t>
            </w:r>
          </w:p>
          <w:p>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购</w:t>
            </w:r>
          </w:p>
          <w:p>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代</w:t>
            </w:r>
          </w:p>
          <w:p>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理</w:t>
            </w:r>
          </w:p>
          <w:p>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机</w:t>
            </w:r>
          </w:p>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构</w:t>
            </w:r>
          </w:p>
        </w:tc>
        <w:tc>
          <w:tcPr>
            <w:tcW w:w="7049" w:type="dxa"/>
          </w:tcPr>
          <w:p>
            <w:pPr>
              <w:ind w:left="420"/>
              <w:rPr>
                <w:rFonts w:ascii="宋体" w:hAnsi="宋体" w:cs="宋体"/>
                <w:color w:val="000000" w:themeColor="text1"/>
                <w14:textFill>
                  <w14:solidFill>
                    <w14:schemeClr w14:val="tx1"/>
                  </w14:solidFill>
                </w14:textFill>
              </w:rPr>
            </w:pPr>
          </w:p>
          <w:p>
            <w:pPr>
              <w:pStyle w:val="3"/>
              <w:ind w:left="0"/>
              <w:rPr>
                <w:rFonts w:hAnsi="宋体"/>
                <w:color w:val="000000" w:themeColor="text1"/>
                <w:sz w:val="32"/>
                <w:szCs w:val="32"/>
                <w14:textFill>
                  <w14:solidFill>
                    <w14:schemeClr w14:val="tx1"/>
                  </w14:solidFill>
                </w14:textFill>
              </w:rPr>
            </w:pPr>
            <w:r>
              <w:rPr>
                <w:rFonts w:hint="eastAsia" w:hAnsi="宋体"/>
                <w:color w:val="000000" w:themeColor="text1"/>
                <w14:textFill>
                  <w14:solidFill>
                    <w14:schemeClr w14:val="tx1"/>
                  </w14:solidFill>
                </w14:textFill>
              </w:rPr>
              <w:t>　　</w:t>
            </w:r>
            <w:r>
              <w:rPr>
                <w:rFonts w:hint="eastAsia" w:hAnsi="宋体"/>
                <w:color w:val="000000" w:themeColor="text1"/>
                <w:sz w:val="32"/>
                <w:szCs w:val="32"/>
                <w14:textFill>
                  <w14:solidFill>
                    <w14:schemeClr w14:val="tx1"/>
                  </w14:solidFill>
                </w14:textFill>
              </w:rPr>
              <w:t>　请采购人审核！</w:t>
            </w:r>
          </w:p>
          <w:p>
            <w:pPr>
              <w:pStyle w:val="3"/>
              <w:ind w:left="0"/>
              <w:rPr>
                <w:rFonts w:hAnsi="宋体"/>
                <w:color w:val="000000" w:themeColor="text1"/>
                <w14:textFill>
                  <w14:solidFill>
                    <w14:schemeClr w14:val="tx1"/>
                  </w14:solidFill>
                </w14:textFill>
              </w:rPr>
            </w:pPr>
            <w:r>
              <w:rPr>
                <w:rFonts w:hint="eastAsia" w:hAnsi="宋体"/>
                <w:color w:val="000000" w:themeColor="text1"/>
                <w:sz w:val="21"/>
                <w:szCs w:val="21"/>
                <w14:textFill>
                  <w14:solidFill>
                    <w14:schemeClr w14:val="tx1"/>
                  </w14:solidFill>
                </w14:textFill>
              </w:rPr>
              <w:t>　</w:t>
            </w:r>
            <w:r>
              <w:rPr>
                <w:rFonts w:hint="eastAsia" w:hAnsi="宋体"/>
                <w:color w:val="000000" w:themeColor="text1"/>
                <w14:textFill>
                  <w14:solidFill>
                    <w14:schemeClr w14:val="tx1"/>
                  </w14:solidFill>
                </w14:textFill>
              </w:rPr>
              <w:t>　　　　　　　　　　　　　　　　　（章）</w:t>
            </w:r>
          </w:p>
          <w:p>
            <w:pPr>
              <w:pStyle w:val="3"/>
              <w:ind w:left="0"/>
              <w:rPr>
                <w:rFonts w:hAnsi="宋体"/>
                <w:color w:val="000000" w:themeColor="text1"/>
                <w14:textFill>
                  <w14:solidFill>
                    <w14:schemeClr w14:val="tx1"/>
                  </w14:solidFill>
                </w14:textFill>
              </w:rPr>
            </w:pPr>
          </w:p>
          <w:p>
            <w:pPr>
              <w:pStyle w:val="3"/>
              <w:ind w:left="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编制：刘汪寅  　　  审核：魏履勇　      　 签发：</w:t>
            </w:r>
          </w:p>
          <w:p>
            <w:pPr>
              <w:ind w:left="1260"/>
              <w:rPr>
                <w:rFonts w:ascii="宋体" w:hAnsi="宋体" w:cs="宋体"/>
                <w:color w:val="000000" w:themeColor="text1"/>
                <w:sz w:val="24"/>
                <w14:textFill>
                  <w14:solidFill>
                    <w14:schemeClr w14:val="tx1"/>
                  </w14:solidFill>
                </w14:textFill>
              </w:rPr>
            </w:pPr>
          </w:p>
          <w:p>
            <w:pPr>
              <w:ind w:left="12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2023年  月  日</w:t>
            </w:r>
          </w:p>
          <w:p>
            <w:pPr>
              <w:pStyle w:val="3"/>
              <w:ind w:left="0"/>
              <w:rPr>
                <w:rFonts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jc w:val="center"/>
        </w:trPr>
        <w:tc>
          <w:tcPr>
            <w:tcW w:w="155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w:t>
            </w: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购</w:t>
            </w: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w:t>
            </w: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位</w:t>
            </w:r>
          </w:p>
          <w:p>
            <w:pPr>
              <w:jc w:val="center"/>
              <w:rPr>
                <w:rFonts w:ascii="宋体" w:hAnsi="宋体" w:cs="宋体"/>
                <w:b/>
                <w:color w:val="000000" w:themeColor="text1"/>
                <w:sz w:val="24"/>
                <w14:textFill>
                  <w14:solidFill>
                    <w14:schemeClr w14:val="tx1"/>
                  </w14:solidFill>
                </w14:textFill>
              </w:rPr>
            </w:pPr>
          </w:p>
        </w:tc>
        <w:tc>
          <w:tcPr>
            <w:tcW w:w="7049" w:type="dxa"/>
          </w:tcPr>
          <w:p>
            <w:pPr>
              <w:rPr>
                <w:rFonts w:ascii="宋体" w:hAnsi="宋体" w:cs="宋体"/>
                <w:b/>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采购单位意见：</w:t>
            </w:r>
          </w:p>
          <w:p>
            <w:pPr>
              <w:rPr>
                <w:rFonts w:ascii="宋体" w:hAnsi="宋体" w:cs="宋体"/>
                <w:b/>
                <w:color w:val="000000" w:themeColor="text1"/>
                <w:sz w:val="24"/>
                <w14:textFill>
                  <w14:solidFill>
                    <w14:schemeClr w14:val="tx1"/>
                  </w14:solidFill>
                </w14:textFill>
              </w:rPr>
            </w:pPr>
          </w:p>
          <w:p>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（章）</w:t>
            </w:r>
          </w:p>
          <w:p>
            <w:pPr>
              <w:rPr>
                <w:rFonts w:ascii="宋体" w:hAnsi="宋体" w:cs="宋体"/>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法定代表人或经办人（签字或盖章）</w:t>
            </w:r>
          </w:p>
          <w:p>
            <w:pPr>
              <w:rPr>
                <w:rFonts w:ascii="宋体" w:hAnsi="宋体" w:cs="宋体"/>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p>
          <w:p>
            <w:pPr>
              <w:ind w:left="12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2023年  月  日</w:t>
            </w:r>
          </w:p>
          <w:p>
            <w:pPr>
              <w:ind w:left="420"/>
              <w:rPr>
                <w:rFonts w:ascii="宋体" w:hAnsi="宋体" w:cs="宋体"/>
                <w:b/>
                <w:color w:val="000000" w:themeColor="text1"/>
                <w:sz w:val="24"/>
                <w14:textFill>
                  <w14:solidFill>
                    <w14:schemeClr w14:val="tx1"/>
                  </w14:solidFill>
                </w14:textFill>
              </w:rPr>
            </w:pPr>
          </w:p>
        </w:tc>
      </w:tr>
    </w:tbl>
    <w:p>
      <w:pPr>
        <w:pStyle w:val="3"/>
        <w:spacing w:before="0" w:line="360" w:lineRule="auto"/>
        <w:ind w:left="0" w:firstLine="424" w:firstLineChars="200"/>
        <w:jc w:val="both"/>
        <w:rPr>
          <w:rFonts w:hAnsi="宋体"/>
          <w:b/>
          <w:bCs/>
          <w:color w:val="000000" w:themeColor="text1"/>
          <w:sz w:val="21"/>
          <w:szCs w:val="21"/>
          <w14:textFill>
            <w14:solidFill>
              <w14:schemeClr w14:val="tx1"/>
            </w14:solidFill>
          </w14:textFill>
        </w:rPr>
      </w:pPr>
    </w:p>
    <w:p>
      <w:pPr>
        <w:rPr>
          <w:rFonts w:ascii="宋体" w:hAnsi="宋体" w:cs="宋体"/>
        </w:rPr>
      </w:pPr>
    </w:p>
    <w:sectPr>
      <w:headerReference r:id="rId10" w:type="default"/>
      <w:footerReference r:id="rId11" w:type="default"/>
      <w:pgSz w:w="11906" w:h="16838"/>
      <w:pgMar w:top="1417" w:right="1417" w:bottom="1417" w:left="1417" w:header="851" w:footer="992" w:gutter="113"/>
      <w:cols w:space="720" w:num="1"/>
      <w:titlePg/>
      <w:docGrid w:type="linesAndChars" w:linePitch="326" w:charSpace="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Ђˎ̥">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3985" cy="1530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61312;mso-width-relative:page;mso-height-relative:page;" filled="f" stroked="f" coordsize="21600,21600" o:gfxdata="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ZCQg/RAAAAAwEAAA8AAAAAAAAAAQAgAAAAIgAAAGRycy9kb3ducmV2LnhtbFBL&#10;AQIUABQAAAAIAIdO4kDGTLmWNgIAAGEEAAAOAAAAAAAAAAEAIAAAACA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JTQ6kvTAQAApQMAAA4AAAAAAAAAAQAgAAAAHwEA&#10;AGRycy9lMm9Eb2MueG1sUEsFBgAAAAAGAAYAWQEAAG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GQEX3E3AgAAYwQAAA4AAAAAAAAAAQAgAAAAIQEAAGRycy9lMm9Eb2Mu&#10;eG1sUEsFBgAAAAAGAAYAWQEAAMo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uble" w:color="auto" w:sz="8" w:space="0"/>
      </w:pBdr>
      <w:jc w:val="center"/>
      <w:rPr>
        <w:rFonts w:ascii="宋体" w:hAnsi="宋体" w:cs="宋体"/>
      </w:rPr>
    </w:pPr>
    <w:r>
      <w:rPr>
        <w:sz w:val="18"/>
      </w:rPr>
      <w:pict>
        <v:shape id="PowerPlusWaterMarkObject48220" o:spid="_x0000_s2055" o:spt="136" type="#_x0000_t136" style="position:absolute;left:0pt;height:53.6pt;width:533.65pt;mso-position-horizontal:center;mso-position-horizontal-relative:margin;mso-position-vertical:center;mso-position-vertical-relative:margin;rotation:-2949120f;z-index:-251657216;mso-width-relative:page;mso-height-relative:page;" fillcolor="#E7E6E6" filled="t" stroked="f" coordsize="21600,21600">
          <v:path/>
          <v:fill on="t" opacity="63569f" focussize="0,0"/>
          <v:stroke on="f"/>
          <v:imagedata o:title=""/>
          <o:lock v:ext="edit" aspectratio="t"/>
          <v:textpath on="t" fitshape="t" fitpath="t" trim="t" xscale="f" string="江西安必信招标咨询有限公司" style="font-family:微软雅黑;font-size:36pt;v-text-align:center;"/>
        </v:shape>
      </w:pict>
    </w:r>
    <w:r>
      <w:rPr>
        <w:rFonts w:eastAsia="Times New Roman"/>
        <w:szCs w:val="21"/>
      </w:rPr>
      <w:drawing>
        <wp:inline distT="0" distB="0" distL="0" distR="0">
          <wp:extent cx="248920" cy="266065"/>
          <wp:effectExtent l="19050" t="0" r="0" b="0"/>
          <wp:docPr id="1" name="图片 1" descr="安必信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必信log"/>
                  <pic:cNvPicPr>
                    <a:picLocks noChangeAspect="1" noChangeArrowheads="1"/>
                  </pic:cNvPicPr>
                </pic:nvPicPr>
                <pic:blipFill>
                  <a:blip r:embed="rId1"/>
                  <a:srcRect/>
                  <a:stretch>
                    <a:fillRect/>
                  </a:stretch>
                </pic:blipFill>
                <pic:spPr>
                  <a:xfrm>
                    <a:off x="0" y="0"/>
                    <a:ext cx="248920" cy="266065"/>
                  </a:xfrm>
                  <a:prstGeom prst="rect">
                    <a:avLst/>
                  </a:prstGeom>
                  <a:noFill/>
                  <a:ln w="9525">
                    <a:noFill/>
                    <a:miter lim="800000"/>
                    <a:headEnd/>
                    <a:tailEnd/>
                  </a:ln>
                </pic:spPr>
              </pic:pic>
            </a:graphicData>
          </a:graphic>
        </wp:inline>
      </w:drawing>
    </w:r>
    <w:r>
      <w:rPr>
        <w:rFonts w:hint="eastAsia" w:ascii="宋体" w:hAnsi="宋体" w:cs="宋体"/>
        <w:szCs w:val="21"/>
      </w:rPr>
      <w:t>江西安必信招标咨询有限公司                        项目编号：【ABXZBZC202301075】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pPr>
    <w:r>
      <w:rPr>
        <w:color w:val="000000" w:themeColor="text1"/>
        <w:sz w:val="18"/>
        <w14:textFill>
          <w14:solidFill>
            <w14:schemeClr w14:val="tx1"/>
          </w14:solidFill>
        </w14:textFill>
      </w:rPr>
      <w:pict>
        <v:shape id="_x0000_s2060" o:spid="_x0000_s2060" o:spt="136" type="#_x0000_t136" style="position:absolute;left:0pt;height:53.6pt;width:533.65pt;mso-position-horizontal:center;mso-position-horizontal-relative:margin;mso-position-vertical:center;mso-position-vertical-relative:margin;rotation:-2949120f;z-index:-251654144;mso-width-relative:page;mso-height-relative:page;" fillcolor="#E7E6E6" filled="t" stroked="f" coordsize="21600,21600">
          <v:path/>
          <v:fill on="t" opacity="63569f" focussize="0,0"/>
          <v:stroke on="f"/>
          <v:imagedata o:title=""/>
          <o:lock v:ext="edit" aspectratio="t"/>
          <v:textpath on="t" fitshape="t" fitpath="t" trim="t" xscale="f" string="江西安必信招标咨询有限公司" style="font-family:微软雅黑;font-size:36pt;v-text-align:center;"/>
        </v:shape>
      </w:pict>
    </w:r>
    <w:r>
      <w:rPr>
        <w:rFonts w:eastAsia="Times New Roman"/>
        <w:szCs w:val="21"/>
      </w:rPr>
      <w:drawing>
        <wp:inline distT="0" distB="0" distL="0" distR="0">
          <wp:extent cx="248920" cy="266065"/>
          <wp:effectExtent l="19050" t="0" r="0" b="0"/>
          <wp:docPr id="2" name="图片 1" descr="安必信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必信log"/>
                  <pic:cNvPicPr>
                    <a:picLocks noChangeAspect="1" noChangeArrowheads="1"/>
                  </pic:cNvPicPr>
                </pic:nvPicPr>
                <pic:blipFill>
                  <a:blip r:embed="rId1"/>
                  <a:srcRect/>
                  <a:stretch>
                    <a:fillRect/>
                  </a:stretch>
                </pic:blipFill>
                <pic:spPr>
                  <a:xfrm>
                    <a:off x="0" y="0"/>
                    <a:ext cx="248920" cy="266065"/>
                  </a:xfrm>
                  <a:prstGeom prst="rect">
                    <a:avLst/>
                  </a:prstGeom>
                  <a:noFill/>
                  <a:ln w="9525">
                    <a:noFill/>
                    <a:miter lim="800000"/>
                    <a:headEnd/>
                    <a:tailEnd/>
                  </a:ln>
                </pic:spPr>
              </pic:pic>
            </a:graphicData>
          </a:graphic>
        </wp:inline>
      </w:drawing>
    </w:r>
    <w:r>
      <w:rPr>
        <w:rFonts w:hint="eastAsia" w:ascii="宋体" w:hAnsi="宋体" w:cs="宋体"/>
        <w:szCs w:val="21"/>
      </w:rPr>
      <w:t>江西安必信招标咨询有限公司                         项目编号：【ABXZBZC202301075】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tabs>
        <w:tab w:val="left" w:pos="568"/>
        <w:tab w:val="center" w:pos="4881"/>
      </w:tabs>
      <w:jc w:val="center"/>
      <w:rPr>
        <w:rFonts w:ascii="宋体" w:hAnsi="宋体" w:cs="宋体"/>
        <w:szCs w:val="21"/>
      </w:rPr>
    </w:pPr>
    <w:r>
      <w:rPr>
        <w:rFonts w:eastAsia="Times New Roman"/>
        <w:szCs w:val="21"/>
      </w:rPr>
      <w:drawing>
        <wp:inline distT="0" distB="0" distL="114300" distR="114300">
          <wp:extent cx="247650" cy="266700"/>
          <wp:effectExtent l="0" t="0" r="0" b="0"/>
          <wp:docPr id="8" name="图片 1" descr="安必信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安必信log"/>
                  <pic:cNvPicPr>
                    <a:picLocks noChangeAspect="1"/>
                  </pic:cNvPicPr>
                </pic:nvPicPr>
                <pic:blipFill>
                  <a:blip r:embed="rId1"/>
                  <a:stretch>
                    <a:fillRect/>
                  </a:stretch>
                </pic:blipFill>
                <pic:spPr>
                  <a:xfrm>
                    <a:off x="0" y="0"/>
                    <a:ext cx="247650" cy="266700"/>
                  </a:xfrm>
                  <a:prstGeom prst="rect">
                    <a:avLst/>
                  </a:prstGeom>
                  <a:noFill/>
                  <a:ln>
                    <a:noFill/>
                  </a:ln>
                </pic:spPr>
              </pic:pic>
            </a:graphicData>
          </a:graphic>
        </wp:inline>
      </w:drawing>
    </w:r>
    <w:r>
      <w:rPr>
        <w:rFonts w:hint="eastAsia" w:ascii="宋体" w:hAnsi="宋体" w:cs="宋体"/>
        <w:szCs w:val="21"/>
      </w:rPr>
      <w:t>江西安必信招标咨询有限公司　　　　                 项目编号：</w:t>
    </w:r>
    <w:r>
      <w:rPr>
        <w:rFonts w:hint="eastAsia" w:ascii="仿宋" w:hAnsi="仿宋" w:eastAsia="仿宋" w:cs="仿宋"/>
        <w:szCs w:val="21"/>
      </w:rPr>
      <w:t>【ABXZBZC202301075】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83DCC"/>
    <w:multiLevelType w:val="singleLevel"/>
    <w:tmpl w:val="89E83DCC"/>
    <w:lvl w:ilvl="0" w:tentative="0">
      <w:start w:val="1"/>
      <w:numFmt w:val="chineseCounting"/>
      <w:suff w:val="nothing"/>
      <w:lvlText w:val="第%1章　"/>
      <w:lvlJc w:val="left"/>
      <w:rPr>
        <w:rFonts w:hint="eastAsia"/>
      </w:rPr>
    </w:lvl>
  </w:abstractNum>
  <w:abstractNum w:abstractNumId="1">
    <w:nsid w:val="8C36A901"/>
    <w:multiLevelType w:val="singleLevel"/>
    <w:tmpl w:val="8C36A901"/>
    <w:lvl w:ilvl="0" w:tentative="0">
      <w:start w:val="1"/>
      <w:numFmt w:val="chineseCounting"/>
      <w:suff w:val="nothing"/>
      <w:lvlText w:val="（%1）"/>
      <w:lvlJc w:val="left"/>
      <w:rPr>
        <w:rFonts w:hint="eastAsia"/>
      </w:rPr>
    </w:lvl>
  </w:abstractNum>
  <w:abstractNum w:abstractNumId="2">
    <w:nsid w:val="0C0B4986"/>
    <w:multiLevelType w:val="singleLevel"/>
    <w:tmpl w:val="0C0B4986"/>
    <w:lvl w:ilvl="0" w:tentative="0">
      <w:start w:val="37"/>
      <w:numFmt w:val="decimal"/>
      <w:lvlText w:val="%1."/>
      <w:lvlJc w:val="left"/>
      <w:pPr>
        <w:tabs>
          <w:tab w:val="left" w:pos="312"/>
        </w:tabs>
      </w:pPr>
    </w:lvl>
  </w:abstractNum>
  <w:abstractNum w:abstractNumId="3">
    <w:nsid w:val="184A3DD8"/>
    <w:multiLevelType w:val="singleLevel"/>
    <w:tmpl w:val="184A3DD8"/>
    <w:lvl w:ilvl="0" w:tentative="0">
      <w:start w:val="1"/>
      <w:numFmt w:val="decimal"/>
      <w:lvlText w:val="(%1)"/>
      <w:lvlJc w:val="left"/>
      <w:pPr>
        <w:ind w:left="425" w:hanging="425"/>
      </w:pPr>
      <w:rPr>
        <w:rFonts w:hint="default"/>
      </w:rPr>
    </w:lvl>
  </w:abstractNum>
  <w:abstractNum w:abstractNumId="4">
    <w:nsid w:val="29E792DF"/>
    <w:multiLevelType w:val="singleLevel"/>
    <w:tmpl w:val="29E792DF"/>
    <w:lvl w:ilvl="0" w:tentative="0">
      <w:start w:val="1"/>
      <w:numFmt w:val="decimal"/>
      <w:suff w:val="nothing"/>
      <w:lvlText w:val="%1、"/>
      <w:lvlJc w:val="left"/>
    </w:lvl>
  </w:abstractNum>
  <w:abstractNum w:abstractNumId="5">
    <w:nsid w:val="527707AC"/>
    <w:multiLevelType w:val="singleLevel"/>
    <w:tmpl w:val="527707AC"/>
    <w:lvl w:ilvl="0" w:tentative="0">
      <w:start w:val="1"/>
      <w:numFmt w:val="decimal"/>
      <w:suff w:val="nothing"/>
      <w:lvlText w:val="%1、"/>
      <w:lvlJc w:val="left"/>
    </w:lvl>
  </w:abstractNum>
  <w:abstractNum w:abstractNumId="6">
    <w:nsid w:val="58659A16"/>
    <w:multiLevelType w:val="singleLevel"/>
    <w:tmpl w:val="58659A16"/>
    <w:lvl w:ilvl="0" w:tentative="0">
      <w:start w:val="7"/>
      <w:numFmt w:val="decimal"/>
      <w:suff w:val="nothing"/>
      <w:lvlText w:val="%1."/>
      <w:lvlJc w:val="left"/>
      <w:rPr>
        <w:rFonts w:cs="Times New Roman"/>
      </w:rPr>
    </w:lvl>
  </w:abstractNum>
  <w:abstractNum w:abstractNumId="7">
    <w:nsid w:val="5944723E"/>
    <w:multiLevelType w:val="singleLevel"/>
    <w:tmpl w:val="5944723E"/>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YjY2NDU0MmQyZTBjNmY5NDNiMmVjZjZmNDE3Y2MifQ=="/>
  </w:docVars>
  <w:rsids>
    <w:rsidRoot w:val="000C2413"/>
    <w:rsid w:val="00006F65"/>
    <w:rsid w:val="0002779D"/>
    <w:rsid w:val="00035129"/>
    <w:rsid w:val="00037D7B"/>
    <w:rsid w:val="00067B39"/>
    <w:rsid w:val="00070883"/>
    <w:rsid w:val="00072CB5"/>
    <w:rsid w:val="000C2413"/>
    <w:rsid w:val="00117BC1"/>
    <w:rsid w:val="00117E1C"/>
    <w:rsid w:val="00146348"/>
    <w:rsid w:val="00155B61"/>
    <w:rsid w:val="00166662"/>
    <w:rsid w:val="0016689D"/>
    <w:rsid w:val="00171031"/>
    <w:rsid w:val="001756B7"/>
    <w:rsid w:val="00175C50"/>
    <w:rsid w:val="001817A3"/>
    <w:rsid w:val="00182263"/>
    <w:rsid w:val="00195BA9"/>
    <w:rsid w:val="001A54AC"/>
    <w:rsid w:val="001C7AF3"/>
    <w:rsid w:val="001D5B3B"/>
    <w:rsid w:val="00216827"/>
    <w:rsid w:val="00216C3B"/>
    <w:rsid w:val="002215E4"/>
    <w:rsid w:val="002244DF"/>
    <w:rsid w:val="00237F78"/>
    <w:rsid w:val="00255D0B"/>
    <w:rsid w:val="00256657"/>
    <w:rsid w:val="00262283"/>
    <w:rsid w:val="00281D04"/>
    <w:rsid w:val="00282469"/>
    <w:rsid w:val="002C417E"/>
    <w:rsid w:val="002D70DE"/>
    <w:rsid w:val="00304F54"/>
    <w:rsid w:val="003301C1"/>
    <w:rsid w:val="00346F55"/>
    <w:rsid w:val="00374FA4"/>
    <w:rsid w:val="003768C2"/>
    <w:rsid w:val="00381260"/>
    <w:rsid w:val="0038295D"/>
    <w:rsid w:val="00385903"/>
    <w:rsid w:val="003C644B"/>
    <w:rsid w:val="003D3169"/>
    <w:rsid w:val="003F1398"/>
    <w:rsid w:val="003F675A"/>
    <w:rsid w:val="00414F38"/>
    <w:rsid w:val="004169C1"/>
    <w:rsid w:val="00421830"/>
    <w:rsid w:val="004479AE"/>
    <w:rsid w:val="00453599"/>
    <w:rsid w:val="00484787"/>
    <w:rsid w:val="0048632F"/>
    <w:rsid w:val="004A4ED6"/>
    <w:rsid w:val="004D257A"/>
    <w:rsid w:val="004F1B69"/>
    <w:rsid w:val="00502604"/>
    <w:rsid w:val="00505F21"/>
    <w:rsid w:val="005060E4"/>
    <w:rsid w:val="00517C94"/>
    <w:rsid w:val="005203F1"/>
    <w:rsid w:val="00525317"/>
    <w:rsid w:val="00540340"/>
    <w:rsid w:val="00544A71"/>
    <w:rsid w:val="00582D2C"/>
    <w:rsid w:val="005A372E"/>
    <w:rsid w:val="005A56AA"/>
    <w:rsid w:val="005A6023"/>
    <w:rsid w:val="005B08F3"/>
    <w:rsid w:val="005C316C"/>
    <w:rsid w:val="005D73A1"/>
    <w:rsid w:val="005E22BA"/>
    <w:rsid w:val="005F3E34"/>
    <w:rsid w:val="005F529C"/>
    <w:rsid w:val="005F5DB0"/>
    <w:rsid w:val="005F6E15"/>
    <w:rsid w:val="0060738F"/>
    <w:rsid w:val="006360EF"/>
    <w:rsid w:val="00661455"/>
    <w:rsid w:val="00691C23"/>
    <w:rsid w:val="006A2FC3"/>
    <w:rsid w:val="006D24DB"/>
    <w:rsid w:val="006D7A9E"/>
    <w:rsid w:val="006F0F2D"/>
    <w:rsid w:val="006F5A1F"/>
    <w:rsid w:val="00751DFF"/>
    <w:rsid w:val="00790B71"/>
    <w:rsid w:val="007B143F"/>
    <w:rsid w:val="007B4BE9"/>
    <w:rsid w:val="007C3F63"/>
    <w:rsid w:val="007D2F05"/>
    <w:rsid w:val="007E0128"/>
    <w:rsid w:val="0081249B"/>
    <w:rsid w:val="00827C96"/>
    <w:rsid w:val="00835E97"/>
    <w:rsid w:val="00840B4E"/>
    <w:rsid w:val="00841BDC"/>
    <w:rsid w:val="00843C35"/>
    <w:rsid w:val="00850D6E"/>
    <w:rsid w:val="00856083"/>
    <w:rsid w:val="00856B9B"/>
    <w:rsid w:val="00870FCE"/>
    <w:rsid w:val="00880FCC"/>
    <w:rsid w:val="008940C4"/>
    <w:rsid w:val="008A2D6F"/>
    <w:rsid w:val="008C48E9"/>
    <w:rsid w:val="008C638D"/>
    <w:rsid w:val="008D1AFE"/>
    <w:rsid w:val="008F3980"/>
    <w:rsid w:val="0097511D"/>
    <w:rsid w:val="00990C27"/>
    <w:rsid w:val="009D0EC2"/>
    <w:rsid w:val="009D1515"/>
    <w:rsid w:val="009D3FD7"/>
    <w:rsid w:val="009E3AA5"/>
    <w:rsid w:val="009F72FA"/>
    <w:rsid w:val="00A101AA"/>
    <w:rsid w:val="00A24AAA"/>
    <w:rsid w:val="00A50D91"/>
    <w:rsid w:val="00A94708"/>
    <w:rsid w:val="00AA5249"/>
    <w:rsid w:val="00AB36DD"/>
    <w:rsid w:val="00AD485F"/>
    <w:rsid w:val="00AE0716"/>
    <w:rsid w:val="00AE713A"/>
    <w:rsid w:val="00AF04EF"/>
    <w:rsid w:val="00B07EDD"/>
    <w:rsid w:val="00B13F2C"/>
    <w:rsid w:val="00B30918"/>
    <w:rsid w:val="00B41FA4"/>
    <w:rsid w:val="00B46918"/>
    <w:rsid w:val="00B570A7"/>
    <w:rsid w:val="00BA0EB7"/>
    <w:rsid w:val="00BA34D0"/>
    <w:rsid w:val="00BB0C89"/>
    <w:rsid w:val="00BB5A41"/>
    <w:rsid w:val="00BF4A4B"/>
    <w:rsid w:val="00C06EC5"/>
    <w:rsid w:val="00C1480B"/>
    <w:rsid w:val="00C449CA"/>
    <w:rsid w:val="00C45D4A"/>
    <w:rsid w:val="00C53BD7"/>
    <w:rsid w:val="00C552D6"/>
    <w:rsid w:val="00C6038A"/>
    <w:rsid w:val="00C86090"/>
    <w:rsid w:val="00C97848"/>
    <w:rsid w:val="00CC3730"/>
    <w:rsid w:val="00CC7270"/>
    <w:rsid w:val="00CD3852"/>
    <w:rsid w:val="00CD6F74"/>
    <w:rsid w:val="00CE407E"/>
    <w:rsid w:val="00CE49FB"/>
    <w:rsid w:val="00D07FCA"/>
    <w:rsid w:val="00D109B8"/>
    <w:rsid w:val="00D25A54"/>
    <w:rsid w:val="00D471E0"/>
    <w:rsid w:val="00D67C39"/>
    <w:rsid w:val="00DA1B4E"/>
    <w:rsid w:val="00DA7547"/>
    <w:rsid w:val="00DD3632"/>
    <w:rsid w:val="00DD64E9"/>
    <w:rsid w:val="00E00E0C"/>
    <w:rsid w:val="00E20326"/>
    <w:rsid w:val="00E377EE"/>
    <w:rsid w:val="00E4555D"/>
    <w:rsid w:val="00E50E49"/>
    <w:rsid w:val="00E552D0"/>
    <w:rsid w:val="00E732B5"/>
    <w:rsid w:val="00E7648B"/>
    <w:rsid w:val="00E83CDD"/>
    <w:rsid w:val="00E95406"/>
    <w:rsid w:val="00EB47E1"/>
    <w:rsid w:val="00EC39AC"/>
    <w:rsid w:val="00ED7123"/>
    <w:rsid w:val="00ED7CEF"/>
    <w:rsid w:val="00EE2309"/>
    <w:rsid w:val="00F10198"/>
    <w:rsid w:val="00F10F47"/>
    <w:rsid w:val="00F42281"/>
    <w:rsid w:val="00F46DBE"/>
    <w:rsid w:val="00F77AA3"/>
    <w:rsid w:val="00FA25CB"/>
    <w:rsid w:val="00FC4633"/>
    <w:rsid w:val="00FE2811"/>
    <w:rsid w:val="00FF5571"/>
    <w:rsid w:val="010C4B3E"/>
    <w:rsid w:val="012E197B"/>
    <w:rsid w:val="017825BF"/>
    <w:rsid w:val="0185343D"/>
    <w:rsid w:val="018D3AF8"/>
    <w:rsid w:val="01B92DB6"/>
    <w:rsid w:val="01C03135"/>
    <w:rsid w:val="01EB3779"/>
    <w:rsid w:val="023B6C08"/>
    <w:rsid w:val="02783EC0"/>
    <w:rsid w:val="02A26754"/>
    <w:rsid w:val="02C47D22"/>
    <w:rsid w:val="02C71777"/>
    <w:rsid w:val="02D47F4A"/>
    <w:rsid w:val="02E46ACE"/>
    <w:rsid w:val="031A4A2D"/>
    <w:rsid w:val="03225400"/>
    <w:rsid w:val="03374A59"/>
    <w:rsid w:val="033824C1"/>
    <w:rsid w:val="03630182"/>
    <w:rsid w:val="03A43915"/>
    <w:rsid w:val="04300EC2"/>
    <w:rsid w:val="047E2E70"/>
    <w:rsid w:val="04DC7F7F"/>
    <w:rsid w:val="05193DA4"/>
    <w:rsid w:val="05A4785C"/>
    <w:rsid w:val="05EF7EDD"/>
    <w:rsid w:val="06CF6F1E"/>
    <w:rsid w:val="06E31F6A"/>
    <w:rsid w:val="06EE6A95"/>
    <w:rsid w:val="0708176C"/>
    <w:rsid w:val="070904B9"/>
    <w:rsid w:val="076A0D58"/>
    <w:rsid w:val="07831EC5"/>
    <w:rsid w:val="07D24C98"/>
    <w:rsid w:val="08580924"/>
    <w:rsid w:val="088C5B46"/>
    <w:rsid w:val="08910A60"/>
    <w:rsid w:val="08B17A30"/>
    <w:rsid w:val="08F37C42"/>
    <w:rsid w:val="09290B34"/>
    <w:rsid w:val="093675C2"/>
    <w:rsid w:val="09950361"/>
    <w:rsid w:val="09AA34E7"/>
    <w:rsid w:val="09EB05EB"/>
    <w:rsid w:val="09F72D5B"/>
    <w:rsid w:val="0A1D5542"/>
    <w:rsid w:val="0A4313AF"/>
    <w:rsid w:val="0A457306"/>
    <w:rsid w:val="0A9D2DE7"/>
    <w:rsid w:val="0AC020FD"/>
    <w:rsid w:val="0AE2010C"/>
    <w:rsid w:val="0AE41BA7"/>
    <w:rsid w:val="0B107660"/>
    <w:rsid w:val="0B336ED7"/>
    <w:rsid w:val="0B5C3E34"/>
    <w:rsid w:val="0B625DBF"/>
    <w:rsid w:val="0B6563AA"/>
    <w:rsid w:val="0BE502CE"/>
    <w:rsid w:val="0BF16F9F"/>
    <w:rsid w:val="0C0A0D43"/>
    <w:rsid w:val="0C1365B8"/>
    <w:rsid w:val="0C2801BA"/>
    <w:rsid w:val="0C354FD7"/>
    <w:rsid w:val="0C575F4E"/>
    <w:rsid w:val="0C6B6005"/>
    <w:rsid w:val="0C71063D"/>
    <w:rsid w:val="0C7E5180"/>
    <w:rsid w:val="0C9A2888"/>
    <w:rsid w:val="0CB73DCD"/>
    <w:rsid w:val="0D0D2BF4"/>
    <w:rsid w:val="0D325859"/>
    <w:rsid w:val="0D561F30"/>
    <w:rsid w:val="0DAB2E51"/>
    <w:rsid w:val="0DB33037"/>
    <w:rsid w:val="0DB34A74"/>
    <w:rsid w:val="0E072A16"/>
    <w:rsid w:val="0E0D3B19"/>
    <w:rsid w:val="0E6E57AD"/>
    <w:rsid w:val="0E7B2C7B"/>
    <w:rsid w:val="0E833DCE"/>
    <w:rsid w:val="0EE4226D"/>
    <w:rsid w:val="0EF77BB4"/>
    <w:rsid w:val="0EFB1BB6"/>
    <w:rsid w:val="0F0E6CE8"/>
    <w:rsid w:val="0F2C67E2"/>
    <w:rsid w:val="101F766F"/>
    <w:rsid w:val="102E6728"/>
    <w:rsid w:val="1050592F"/>
    <w:rsid w:val="105953CD"/>
    <w:rsid w:val="10781EDA"/>
    <w:rsid w:val="107915CB"/>
    <w:rsid w:val="10A3327D"/>
    <w:rsid w:val="10C3736E"/>
    <w:rsid w:val="11380900"/>
    <w:rsid w:val="114943BD"/>
    <w:rsid w:val="116D61FD"/>
    <w:rsid w:val="12185A12"/>
    <w:rsid w:val="12485D96"/>
    <w:rsid w:val="125023F8"/>
    <w:rsid w:val="12655723"/>
    <w:rsid w:val="129002AD"/>
    <w:rsid w:val="12AB48FF"/>
    <w:rsid w:val="12B21BE1"/>
    <w:rsid w:val="12B96C23"/>
    <w:rsid w:val="12BB6F9F"/>
    <w:rsid w:val="12F54606"/>
    <w:rsid w:val="12F56D4A"/>
    <w:rsid w:val="12F6082B"/>
    <w:rsid w:val="13087B7F"/>
    <w:rsid w:val="130B1697"/>
    <w:rsid w:val="133D259A"/>
    <w:rsid w:val="135921AB"/>
    <w:rsid w:val="136F1139"/>
    <w:rsid w:val="13792EF7"/>
    <w:rsid w:val="13D3737C"/>
    <w:rsid w:val="1454781F"/>
    <w:rsid w:val="145A6252"/>
    <w:rsid w:val="145D0820"/>
    <w:rsid w:val="14697AFB"/>
    <w:rsid w:val="149A543A"/>
    <w:rsid w:val="14A96EA0"/>
    <w:rsid w:val="14C51908"/>
    <w:rsid w:val="14E41DE7"/>
    <w:rsid w:val="15294767"/>
    <w:rsid w:val="15A93E9C"/>
    <w:rsid w:val="15EC3D38"/>
    <w:rsid w:val="15F30EC4"/>
    <w:rsid w:val="16467F6E"/>
    <w:rsid w:val="1665241F"/>
    <w:rsid w:val="16733675"/>
    <w:rsid w:val="174329DC"/>
    <w:rsid w:val="176A6E74"/>
    <w:rsid w:val="17FE2A20"/>
    <w:rsid w:val="18144C11"/>
    <w:rsid w:val="18474940"/>
    <w:rsid w:val="185C6B2D"/>
    <w:rsid w:val="18AE72DD"/>
    <w:rsid w:val="18D84EC9"/>
    <w:rsid w:val="19432232"/>
    <w:rsid w:val="195D5072"/>
    <w:rsid w:val="19681569"/>
    <w:rsid w:val="19831129"/>
    <w:rsid w:val="19A5514A"/>
    <w:rsid w:val="19BD636C"/>
    <w:rsid w:val="19D86B60"/>
    <w:rsid w:val="19EF2318"/>
    <w:rsid w:val="1A1B363D"/>
    <w:rsid w:val="1A4A30C9"/>
    <w:rsid w:val="1A5529E9"/>
    <w:rsid w:val="1A6440CF"/>
    <w:rsid w:val="1A7C490B"/>
    <w:rsid w:val="1B2F0EE8"/>
    <w:rsid w:val="1B7C01D5"/>
    <w:rsid w:val="1B8902B6"/>
    <w:rsid w:val="1BB472B8"/>
    <w:rsid w:val="1BC10A45"/>
    <w:rsid w:val="1C0A42DA"/>
    <w:rsid w:val="1C0E242C"/>
    <w:rsid w:val="1C1B1166"/>
    <w:rsid w:val="1C3F740E"/>
    <w:rsid w:val="1C8A10BD"/>
    <w:rsid w:val="1C926A4B"/>
    <w:rsid w:val="1CA91767"/>
    <w:rsid w:val="1CA97497"/>
    <w:rsid w:val="1CB06407"/>
    <w:rsid w:val="1CBB57B5"/>
    <w:rsid w:val="1CD05125"/>
    <w:rsid w:val="1CE63C26"/>
    <w:rsid w:val="1CFB5723"/>
    <w:rsid w:val="1D233C03"/>
    <w:rsid w:val="1D3F517A"/>
    <w:rsid w:val="1D595CCC"/>
    <w:rsid w:val="1D774AFE"/>
    <w:rsid w:val="1D7C2336"/>
    <w:rsid w:val="1D9277C2"/>
    <w:rsid w:val="1DC576E3"/>
    <w:rsid w:val="1DC737D4"/>
    <w:rsid w:val="1DD15361"/>
    <w:rsid w:val="1DFE5083"/>
    <w:rsid w:val="1E05147B"/>
    <w:rsid w:val="1E0D5462"/>
    <w:rsid w:val="1E6A204D"/>
    <w:rsid w:val="1E8D42CF"/>
    <w:rsid w:val="1EB02226"/>
    <w:rsid w:val="1ED14554"/>
    <w:rsid w:val="1F3A5DE3"/>
    <w:rsid w:val="1F7014D9"/>
    <w:rsid w:val="1FB738D7"/>
    <w:rsid w:val="1FDA4593"/>
    <w:rsid w:val="202E7BE8"/>
    <w:rsid w:val="20761454"/>
    <w:rsid w:val="20B46086"/>
    <w:rsid w:val="20D65BF3"/>
    <w:rsid w:val="20FA1DA8"/>
    <w:rsid w:val="210D4508"/>
    <w:rsid w:val="21182154"/>
    <w:rsid w:val="212E21DC"/>
    <w:rsid w:val="214B6EB2"/>
    <w:rsid w:val="21B979E0"/>
    <w:rsid w:val="21F13F14"/>
    <w:rsid w:val="22091FBB"/>
    <w:rsid w:val="223119FD"/>
    <w:rsid w:val="224F3402"/>
    <w:rsid w:val="2287631A"/>
    <w:rsid w:val="22BA06B1"/>
    <w:rsid w:val="22D574D0"/>
    <w:rsid w:val="231E3A87"/>
    <w:rsid w:val="23277979"/>
    <w:rsid w:val="233023EB"/>
    <w:rsid w:val="23AA0A4C"/>
    <w:rsid w:val="24335886"/>
    <w:rsid w:val="243D6765"/>
    <w:rsid w:val="247B009F"/>
    <w:rsid w:val="247F57F2"/>
    <w:rsid w:val="24822706"/>
    <w:rsid w:val="248F6BD1"/>
    <w:rsid w:val="24AB1745"/>
    <w:rsid w:val="24AF7C2B"/>
    <w:rsid w:val="24B41A3B"/>
    <w:rsid w:val="24FC03A2"/>
    <w:rsid w:val="251C58E5"/>
    <w:rsid w:val="252B6379"/>
    <w:rsid w:val="252C2672"/>
    <w:rsid w:val="255105AD"/>
    <w:rsid w:val="25735B21"/>
    <w:rsid w:val="258A143C"/>
    <w:rsid w:val="25ED0053"/>
    <w:rsid w:val="26530E9F"/>
    <w:rsid w:val="266B30D5"/>
    <w:rsid w:val="26A45D88"/>
    <w:rsid w:val="26D72F8B"/>
    <w:rsid w:val="26D926BA"/>
    <w:rsid w:val="26DE5BEE"/>
    <w:rsid w:val="26E3263E"/>
    <w:rsid w:val="26E578E5"/>
    <w:rsid w:val="272A39E5"/>
    <w:rsid w:val="272B45AB"/>
    <w:rsid w:val="272C5EA1"/>
    <w:rsid w:val="273E0A05"/>
    <w:rsid w:val="27B9577D"/>
    <w:rsid w:val="27DF72AA"/>
    <w:rsid w:val="282E2C17"/>
    <w:rsid w:val="28A3305E"/>
    <w:rsid w:val="28BE592F"/>
    <w:rsid w:val="28C51E4D"/>
    <w:rsid w:val="29420285"/>
    <w:rsid w:val="29447B75"/>
    <w:rsid w:val="2946732E"/>
    <w:rsid w:val="29B00CB3"/>
    <w:rsid w:val="29FB16E0"/>
    <w:rsid w:val="2A0B38A8"/>
    <w:rsid w:val="2A367768"/>
    <w:rsid w:val="2A511B16"/>
    <w:rsid w:val="2A753BF6"/>
    <w:rsid w:val="2A7723FB"/>
    <w:rsid w:val="2A9700F3"/>
    <w:rsid w:val="2B193B02"/>
    <w:rsid w:val="2B45448D"/>
    <w:rsid w:val="2B58777D"/>
    <w:rsid w:val="2B7939E0"/>
    <w:rsid w:val="2BB908CC"/>
    <w:rsid w:val="2BBF5FEE"/>
    <w:rsid w:val="2BF6275C"/>
    <w:rsid w:val="2BFE1C60"/>
    <w:rsid w:val="2C24731F"/>
    <w:rsid w:val="2C970F50"/>
    <w:rsid w:val="2CB94C10"/>
    <w:rsid w:val="2CC6688C"/>
    <w:rsid w:val="2CD80291"/>
    <w:rsid w:val="2CEA77D6"/>
    <w:rsid w:val="2D2E260D"/>
    <w:rsid w:val="2D4D0E76"/>
    <w:rsid w:val="2D5456A2"/>
    <w:rsid w:val="2D6D47CF"/>
    <w:rsid w:val="2D9B12AE"/>
    <w:rsid w:val="2DC652B6"/>
    <w:rsid w:val="2DF81014"/>
    <w:rsid w:val="2E5D2D41"/>
    <w:rsid w:val="2E5F2A0E"/>
    <w:rsid w:val="2E8B1101"/>
    <w:rsid w:val="2E9945BC"/>
    <w:rsid w:val="2F0D2548"/>
    <w:rsid w:val="2F20028D"/>
    <w:rsid w:val="2F221692"/>
    <w:rsid w:val="2F2F05BA"/>
    <w:rsid w:val="2F2F3D33"/>
    <w:rsid w:val="2F785A8B"/>
    <w:rsid w:val="2FE37873"/>
    <w:rsid w:val="301F38BB"/>
    <w:rsid w:val="305668C1"/>
    <w:rsid w:val="305E7D17"/>
    <w:rsid w:val="3095774D"/>
    <w:rsid w:val="30D23085"/>
    <w:rsid w:val="30D4370A"/>
    <w:rsid w:val="311F1B5D"/>
    <w:rsid w:val="31645C8B"/>
    <w:rsid w:val="317F6307"/>
    <w:rsid w:val="3188170D"/>
    <w:rsid w:val="318847B0"/>
    <w:rsid w:val="31B22628"/>
    <w:rsid w:val="31C14879"/>
    <w:rsid w:val="31DB4A91"/>
    <w:rsid w:val="322C21FC"/>
    <w:rsid w:val="32756105"/>
    <w:rsid w:val="32EB3DBA"/>
    <w:rsid w:val="334353D7"/>
    <w:rsid w:val="3354527C"/>
    <w:rsid w:val="335C57D6"/>
    <w:rsid w:val="337075A6"/>
    <w:rsid w:val="33BF2E16"/>
    <w:rsid w:val="341B5D8B"/>
    <w:rsid w:val="342639B6"/>
    <w:rsid w:val="34D172AC"/>
    <w:rsid w:val="34DE3F35"/>
    <w:rsid w:val="34FA62E8"/>
    <w:rsid w:val="35523339"/>
    <w:rsid w:val="358B76F8"/>
    <w:rsid w:val="35951B6D"/>
    <w:rsid w:val="35A946F2"/>
    <w:rsid w:val="35B13043"/>
    <w:rsid w:val="35C9576F"/>
    <w:rsid w:val="35F64589"/>
    <w:rsid w:val="367A601A"/>
    <w:rsid w:val="36AC53C0"/>
    <w:rsid w:val="36C47A0C"/>
    <w:rsid w:val="36FE0511"/>
    <w:rsid w:val="373553B6"/>
    <w:rsid w:val="37377A01"/>
    <w:rsid w:val="374A289B"/>
    <w:rsid w:val="37793417"/>
    <w:rsid w:val="37936FB9"/>
    <w:rsid w:val="37A64B46"/>
    <w:rsid w:val="37A812A7"/>
    <w:rsid w:val="37D34BC6"/>
    <w:rsid w:val="37DA379C"/>
    <w:rsid w:val="380C25F3"/>
    <w:rsid w:val="38161BE7"/>
    <w:rsid w:val="38D84821"/>
    <w:rsid w:val="38ED3A6E"/>
    <w:rsid w:val="390C7985"/>
    <w:rsid w:val="39291890"/>
    <w:rsid w:val="393E7D77"/>
    <w:rsid w:val="3966497D"/>
    <w:rsid w:val="398A35A5"/>
    <w:rsid w:val="39C2614D"/>
    <w:rsid w:val="39E5082B"/>
    <w:rsid w:val="39F02BBF"/>
    <w:rsid w:val="3A7206CF"/>
    <w:rsid w:val="3A8F588A"/>
    <w:rsid w:val="3ACD2811"/>
    <w:rsid w:val="3AFF7D8D"/>
    <w:rsid w:val="3B0722E5"/>
    <w:rsid w:val="3B38243B"/>
    <w:rsid w:val="3B453DCF"/>
    <w:rsid w:val="3B4C47C6"/>
    <w:rsid w:val="3B543FAB"/>
    <w:rsid w:val="3B5C416F"/>
    <w:rsid w:val="3B5C70A2"/>
    <w:rsid w:val="3B655D7D"/>
    <w:rsid w:val="3B692F0F"/>
    <w:rsid w:val="3B837C2A"/>
    <w:rsid w:val="3B901C89"/>
    <w:rsid w:val="3BD12DDA"/>
    <w:rsid w:val="3C2B1619"/>
    <w:rsid w:val="3C3F4DC9"/>
    <w:rsid w:val="3C691D8E"/>
    <w:rsid w:val="3C8C573F"/>
    <w:rsid w:val="3CB52D65"/>
    <w:rsid w:val="3CDF13DF"/>
    <w:rsid w:val="3D246868"/>
    <w:rsid w:val="3D9450B9"/>
    <w:rsid w:val="3DA07301"/>
    <w:rsid w:val="3DA22B71"/>
    <w:rsid w:val="3DB957F0"/>
    <w:rsid w:val="3DE471AD"/>
    <w:rsid w:val="3DF92FDE"/>
    <w:rsid w:val="3DFB1A5A"/>
    <w:rsid w:val="3E065E93"/>
    <w:rsid w:val="3E103C90"/>
    <w:rsid w:val="3E1F12CE"/>
    <w:rsid w:val="3EC30BC5"/>
    <w:rsid w:val="3EDF15F3"/>
    <w:rsid w:val="3F0E32D8"/>
    <w:rsid w:val="3F360E09"/>
    <w:rsid w:val="3F5017E7"/>
    <w:rsid w:val="3F746C97"/>
    <w:rsid w:val="3F954DEC"/>
    <w:rsid w:val="3FC941E4"/>
    <w:rsid w:val="3FCE0DBD"/>
    <w:rsid w:val="3FD2686E"/>
    <w:rsid w:val="3FDB5AF3"/>
    <w:rsid w:val="405150FA"/>
    <w:rsid w:val="405D4D45"/>
    <w:rsid w:val="408B4299"/>
    <w:rsid w:val="408E5B37"/>
    <w:rsid w:val="40B97BC3"/>
    <w:rsid w:val="40EA343A"/>
    <w:rsid w:val="40EA7D5F"/>
    <w:rsid w:val="41170188"/>
    <w:rsid w:val="41522B74"/>
    <w:rsid w:val="416B088F"/>
    <w:rsid w:val="41831414"/>
    <w:rsid w:val="41DA73C3"/>
    <w:rsid w:val="41F674A0"/>
    <w:rsid w:val="421C4A5F"/>
    <w:rsid w:val="42243556"/>
    <w:rsid w:val="4234205E"/>
    <w:rsid w:val="425414F0"/>
    <w:rsid w:val="42663A98"/>
    <w:rsid w:val="42D74CCF"/>
    <w:rsid w:val="42E26F9E"/>
    <w:rsid w:val="435260CF"/>
    <w:rsid w:val="435277A1"/>
    <w:rsid w:val="43614938"/>
    <w:rsid w:val="43705246"/>
    <w:rsid w:val="4382075A"/>
    <w:rsid w:val="43861CAE"/>
    <w:rsid w:val="438817AD"/>
    <w:rsid w:val="438929AD"/>
    <w:rsid w:val="43B60783"/>
    <w:rsid w:val="43CE4865"/>
    <w:rsid w:val="43F82331"/>
    <w:rsid w:val="44065CD0"/>
    <w:rsid w:val="44137D4C"/>
    <w:rsid w:val="441E1BEE"/>
    <w:rsid w:val="441F43C3"/>
    <w:rsid w:val="44377151"/>
    <w:rsid w:val="446C618F"/>
    <w:rsid w:val="44C04402"/>
    <w:rsid w:val="44DF45B5"/>
    <w:rsid w:val="44E0454E"/>
    <w:rsid w:val="44ED0E67"/>
    <w:rsid w:val="45220C79"/>
    <w:rsid w:val="452B2641"/>
    <w:rsid w:val="453D5A2B"/>
    <w:rsid w:val="453F7144"/>
    <w:rsid w:val="45415E45"/>
    <w:rsid w:val="4545204A"/>
    <w:rsid w:val="457F42B3"/>
    <w:rsid w:val="45C26D59"/>
    <w:rsid w:val="45C7701E"/>
    <w:rsid w:val="46204753"/>
    <w:rsid w:val="46414BB3"/>
    <w:rsid w:val="46917B5C"/>
    <w:rsid w:val="46954259"/>
    <w:rsid w:val="46CA51EA"/>
    <w:rsid w:val="46CE5448"/>
    <w:rsid w:val="46F47432"/>
    <w:rsid w:val="472D6C3C"/>
    <w:rsid w:val="475B7AE5"/>
    <w:rsid w:val="47A56509"/>
    <w:rsid w:val="47B83804"/>
    <w:rsid w:val="47D471F9"/>
    <w:rsid w:val="47D7652E"/>
    <w:rsid w:val="47FB5C98"/>
    <w:rsid w:val="487C3010"/>
    <w:rsid w:val="48C639D5"/>
    <w:rsid w:val="49151225"/>
    <w:rsid w:val="49872946"/>
    <w:rsid w:val="49AF0395"/>
    <w:rsid w:val="49CA2170"/>
    <w:rsid w:val="49CD711E"/>
    <w:rsid w:val="49EE24DF"/>
    <w:rsid w:val="4A3A24A8"/>
    <w:rsid w:val="4A8F2829"/>
    <w:rsid w:val="4A907FD4"/>
    <w:rsid w:val="4AAF6AFE"/>
    <w:rsid w:val="4ABA1929"/>
    <w:rsid w:val="4B1B7AE0"/>
    <w:rsid w:val="4B1C4692"/>
    <w:rsid w:val="4B20387B"/>
    <w:rsid w:val="4B4A47E6"/>
    <w:rsid w:val="4B9247A6"/>
    <w:rsid w:val="4BB7012F"/>
    <w:rsid w:val="4BBC1D6D"/>
    <w:rsid w:val="4BD74A05"/>
    <w:rsid w:val="4BF864D0"/>
    <w:rsid w:val="4C0F2291"/>
    <w:rsid w:val="4C4417D0"/>
    <w:rsid w:val="4C8309BB"/>
    <w:rsid w:val="4CAC3E01"/>
    <w:rsid w:val="4CB05D14"/>
    <w:rsid w:val="4CC30DD9"/>
    <w:rsid w:val="4D215DCA"/>
    <w:rsid w:val="4D2D7C99"/>
    <w:rsid w:val="4D3A2AA6"/>
    <w:rsid w:val="4D793CA5"/>
    <w:rsid w:val="4D9075C4"/>
    <w:rsid w:val="4DF07E31"/>
    <w:rsid w:val="4E2A61D7"/>
    <w:rsid w:val="4E3B031F"/>
    <w:rsid w:val="4E483F52"/>
    <w:rsid w:val="4E650DC3"/>
    <w:rsid w:val="4E76657D"/>
    <w:rsid w:val="4E870491"/>
    <w:rsid w:val="4E98500B"/>
    <w:rsid w:val="4EEF50E0"/>
    <w:rsid w:val="4F3879F2"/>
    <w:rsid w:val="4FCA1650"/>
    <w:rsid w:val="4FCC684D"/>
    <w:rsid w:val="4FE54DA0"/>
    <w:rsid w:val="50094F26"/>
    <w:rsid w:val="50185880"/>
    <w:rsid w:val="5033453E"/>
    <w:rsid w:val="503E63A6"/>
    <w:rsid w:val="505237E1"/>
    <w:rsid w:val="507D6E78"/>
    <w:rsid w:val="51032817"/>
    <w:rsid w:val="514A48BB"/>
    <w:rsid w:val="51686BF8"/>
    <w:rsid w:val="517234B6"/>
    <w:rsid w:val="517F39A6"/>
    <w:rsid w:val="51865B1A"/>
    <w:rsid w:val="518733E5"/>
    <w:rsid w:val="51874553"/>
    <w:rsid w:val="52502AEB"/>
    <w:rsid w:val="52A04B22"/>
    <w:rsid w:val="52D43E6D"/>
    <w:rsid w:val="52F51F35"/>
    <w:rsid w:val="52F94839"/>
    <w:rsid w:val="52FB3405"/>
    <w:rsid w:val="531F3E81"/>
    <w:rsid w:val="53281BFF"/>
    <w:rsid w:val="53472559"/>
    <w:rsid w:val="535D5384"/>
    <w:rsid w:val="539500A7"/>
    <w:rsid w:val="53EC0E3A"/>
    <w:rsid w:val="53EF3697"/>
    <w:rsid w:val="540B797A"/>
    <w:rsid w:val="542F231A"/>
    <w:rsid w:val="54495796"/>
    <w:rsid w:val="54526343"/>
    <w:rsid w:val="548B2772"/>
    <w:rsid w:val="54AB088A"/>
    <w:rsid w:val="551429A1"/>
    <w:rsid w:val="55350FD5"/>
    <w:rsid w:val="556900BF"/>
    <w:rsid w:val="557F3434"/>
    <w:rsid w:val="5589244C"/>
    <w:rsid w:val="55AA6B17"/>
    <w:rsid w:val="55AA7F4A"/>
    <w:rsid w:val="56012790"/>
    <w:rsid w:val="56230981"/>
    <w:rsid w:val="565E18A0"/>
    <w:rsid w:val="56636170"/>
    <w:rsid w:val="56760F5A"/>
    <w:rsid w:val="56A23EA2"/>
    <w:rsid w:val="56A96B2F"/>
    <w:rsid w:val="56BE7DAB"/>
    <w:rsid w:val="57156D53"/>
    <w:rsid w:val="572149EE"/>
    <w:rsid w:val="57455559"/>
    <w:rsid w:val="575A4466"/>
    <w:rsid w:val="577C641B"/>
    <w:rsid w:val="57C6739C"/>
    <w:rsid w:val="57F53E14"/>
    <w:rsid w:val="58035E68"/>
    <w:rsid w:val="580B6B1E"/>
    <w:rsid w:val="58301EE2"/>
    <w:rsid w:val="58A117DF"/>
    <w:rsid w:val="591754A3"/>
    <w:rsid w:val="591F12CB"/>
    <w:rsid w:val="593F3679"/>
    <w:rsid w:val="59400687"/>
    <w:rsid w:val="594F3C5E"/>
    <w:rsid w:val="5955323E"/>
    <w:rsid w:val="59651B5D"/>
    <w:rsid w:val="59D66CC0"/>
    <w:rsid w:val="59F34D10"/>
    <w:rsid w:val="5A136428"/>
    <w:rsid w:val="5A164922"/>
    <w:rsid w:val="5A213464"/>
    <w:rsid w:val="5A2F0DB8"/>
    <w:rsid w:val="5A307211"/>
    <w:rsid w:val="5A4A19CE"/>
    <w:rsid w:val="5A4F1BB6"/>
    <w:rsid w:val="5A6555A7"/>
    <w:rsid w:val="5A6B0463"/>
    <w:rsid w:val="5A8B6F17"/>
    <w:rsid w:val="5AD523B6"/>
    <w:rsid w:val="5AF848F9"/>
    <w:rsid w:val="5B2147A4"/>
    <w:rsid w:val="5B3D1D4D"/>
    <w:rsid w:val="5B493610"/>
    <w:rsid w:val="5B895A79"/>
    <w:rsid w:val="5B9C083A"/>
    <w:rsid w:val="5BAB7419"/>
    <w:rsid w:val="5BCD535D"/>
    <w:rsid w:val="5BF07B4D"/>
    <w:rsid w:val="5C0F6409"/>
    <w:rsid w:val="5C1853E7"/>
    <w:rsid w:val="5C19329C"/>
    <w:rsid w:val="5C1D6E01"/>
    <w:rsid w:val="5C2B49EF"/>
    <w:rsid w:val="5CBA0C6D"/>
    <w:rsid w:val="5CF60E57"/>
    <w:rsid w:val="5D1A7FF7"/>
    <w:rsid w:val="5D45545E"/>
    <w:rsid w:val="5D5235C1"/>
    <w:rsid w:val="5D9D4C5A"/>
    <w:rsid w:val="5DAD189A"/>
    <w:rsid w:val="5DC43A07"/>
    <w:rsid w:val="5DE72AD9"/>
    <w:rsid w:val="5E122D1B"/>
    <w:rsid w:val="5E556F82"/>
    <w:rsid w:val="5E581B26"/>
    <w:rsid w:val="5E7A2695"/>
    <w:rsid w:val="5E811D6F"/>
    <w:rsid w:val="5EED31C3"/>
    <w:rsid w:val="5FD823BF"/>
    <w:rsid w:val="5FF87827"/>
    <w:rsid w:val="60613E11"/>
    <w:rsid w:val="607729A7"/>
    <w:rsid w:val="60A37F1E"/>
    <w:rsid w:val="60C73210"/>
    <w:rsid w:val="60DB6C17"/>
    <w:rsid w:val="6173780B"/>
    <w:rsid w:val="61B234EC"/>
    <w:rsid w:val="61F500CF"/>
    <w:rsid w:val="61F74F2B"/>
    <w:rsid w:val="621B685B"/>
    <w:rsid w:val="626434A5"/>
    <w:rsid w:val="62C12CEB"/>
    <w:rsid w:val="62C204B3"/>
    <w:rsid w:val="630C634E"/>
    <w:rsid w:val="63425A34"/>
    <w:rsid w:val="63475FD1"/>
    <w:rsid w:val="63C32675"/>
    <w:rsid w:val="63DE3BEE"/>
    <w:rsid w:val="63FD3535"/>
    <w:rsid w:val="64393E88"/>
    <w:rsid w:val="644935C9"/>
    <w:rsid w:val="645A5BAC"/>
    <w:rsid w:val="64654C7D"/>
    <w:rsid w:val="64700669"/>
    <w:rsid w:val="64847B29"/>
    <w:rsid w:val="64A9746F"/>
    <w:rsid w:val="6555790E"/>
    <w:rsid w:val="656D651A"/>
    <w:rsid w:val="65716CBC"/>
    <w:rsid w:val="657F33AD"/>
    <w:rsid w:val="65991665"/>
    <w:rsid w:val="65C1246D"/>
    <w:rsid w:val="66236300"/>
    <w:rsid w:val="663C005D"/>
    <w:rsid w:val="66532849"/>
    <w:rsid w:val="665E6202"/>
    <w:rsid w:val="66B374CF"/>
    <w:rsid w:val="66E31889"/>
    <w:rsid w:val="66E86885"/>
    <w:rsid w:val="66F50FF3"/>
    <w:rsid w:val="670A65BF"/>
    <w:rsid w:val="671013B3"/>
    <w:rsid w:val="67123F70"/>
    <w:rsid w:val="678A10B0"/>
    <w:rsid w:val="67B318F3"/>
    <w:rsid w:val="67CF3807"/>
    <w:rsid w:val="67EA2F0F"/>
    <w:rsid w:val="67F65AB0"/>
    <w:rsid w:val="67FC1FE5"/>
    <w:rsid w:val="68330D51"/>
    <w:rsid w:val="683426D7"/>
    <w:rsid w:val="684B0F4A"/>
    <w:rsid w:val="684B5F5F"/>
    <w:rsid w:val="6860521B"/>
    <w:rsid w:val="687E195F"/>
    <w:rsid w:val="68E11BAC"/>
    <w:rsid w:val="69047522"/>
    <w:rsid w:val="690600B1"/>
    <w:rsid w:val="696A4159"/>
    <w:rsid w:val="696E43D6"/>
    <w:rsid w:val="69717C20"/>
    <w:rsid w:val="69816A5D"/>
    <w:rsid w:val="699822C2"/>
    <w:rsid w:val="6A1F05DB"/>
    <w:rsid w:val="6A2F590D"/>
    <w:rsid w:val="6A471A53"/>
    <w:rsid w:val="6A826015"/>
    <w:rsid w:val="6ABE0C1D"/>
    <w:rsid w:val="6AE83F12"/>
    <w:rsid w:val="6B486135"/>
    <w:rsid w:val="6B6A6AC7"/>
    <w:rsid w:val="6B7C5464"/>
    <w:rsid w:val="6B9928BC"/>
    <w:rsid w:val="6BA047ED"/>
    <w:rsid w:val="6BED537E"/>
    <w:rsid w:val="6BFD7492"/>
    <w:rsid w:val="6C135AE0"/>
    <w:rsid w:val="6C2542E6"/>
    <w:rsid w:val="6C2933BF"/>
    <w:rsid w:val="6C4258A4"/>
    <w:rsid w:val="6C78448C"/>
    <w:rsid w:val="6C8E5044"/>
    <w:rsid w:val="6CFD7C82"/>
    <w:rsid w:val="6D0B65AE"/>
    <w:rsid w:val="6D302AE2"/>
    <w:rsid w:val="6D3F3FA8"/>
    <w:rsid w:val="6DB46CC6"/>
    <w:rsid w:val="6DC73D48"/>
    <w:rsid w:val="6DF21904"/>
    <w:rsid w:val="6E137010"/>
    <w:rsid w:val="6E493CF2"/>
    <w:rsid w:val="6EC40BEA"/>
    <w:rsid w:val="6EC5157D"/>
    <w:rsid w:val="6EC62664"/>
    <w:rsid w:val="6ECD58F9"/>
    <w:rsid w:val="6EE90023"/>
    <w:rsid w:val="6F1F55C4"/>
    <w:rsid w:val="6F3011C1"/>
    <w:rsid w:val="6F5C0F3B"/>
    <w:rsid w:val="6F623F8A"/>
    <w:rsid w:val="6F7D4759"/>
    <w:rsid w:val="6F801B99"/>
    <w:rsid w:val="6F83477B"/>
    <w:rsid w:val="6F8E19A4"/>
    <w:rsid w:val="6FA10EE2"/>
    <w:rsid w:val="6FA37C8E"/>
    <w:rsid w:val="6FAD74D8"/>
    <w:rsid w:val="6FBA17E0"/>
    <w:rsid w:val="6FBC782F"/>
    <w:rsid w:val="6FD02C1C"/>
    <w:rsid w:val="7023703F"/>
    <w:rsid w:val="702B0EF1"/>
    <w:rsid w:val="705636CC"/>
    <w:rsid w:val="70C9699A"/>
    <w:rsid w:val="70CA4FFD"/>
    <w:rsid w:val="70E23EAD"/>
    <w:rsid w:val="711E31A2"/>
    <w:rsid w:val="71520337"/>
    <w:rsid w:val="71551EEF"/>
    <w:rsid w:val="715B5DDB"/>
    <w:rsid w:val="71D66B3C"/>
    <w:rsid w:val="71DC1A2A"/>
    <w:rsid w:val="71EC253A"/>
    <w:rsid w:val="72347A3D"/>
    <w:rsid w:val="727F5A2C"/>
    <w:rsid w:val="72834957"/>
    <w:rsid w:val="728F0C4E"/>
    <w:rsid w:val="72946189"/>
    <w:rsid w:val="72C17EA1"/>
    <w:rsid w:val="72DB2BC7"/>
    <w:rsid w:val="72F5426E"/>
    <w:rsid w:val="72F83C5A"/>
    <w:rsid w:val="730A3F64"/>
    <w:rsid w:val="73831A70"/>
    <w:rsid w:val="74585835"/>
    <w:rsid w:val="74BF6CAE"/>
    <w:rsid w:val="74D0334D"/>
    <w:rsid w:val="74EC0E23"/>
    <w:rsid w:val="751B75E9"/>
    <w:rsid w:val="75556648"/>
    <w:rsid w:val="7572236F"/>
    <w:rsid w:val="75EB7E0C"/>
    <w:rsid w:val="75FA6B6A"/>
    <w:rsid w:val="76284DCA"/>
    <w:rsid w:val="76357FF3"/>
    <w:rsid w:val="765C0DB5"/>
    <w:rsid w:val="766052A4"/>
    <w:rsid w:val="76661C2B"/>
    <w:rsid w:val="768C42EB"/>
    <w:rsid w:val="76D0178A"/>
    <w:rsid w:val="76F82654"/>
    <w:rsid w:val="772D55C7"/>
    <w:rsid w:val="777A43BE"/>
    <w:rsid w:val="7789226D"/>
    <w:rsid w:val="778A603E"/>
    <w:rsid w:val="77A978C6"/>
    <w:rsid w:val="77B41FEE"/>
    <w:rsid w:val="78877C15"/>
    <w:rsid w:val="788D0F59"/>
    <w:rsid w:val="789A04F9"/>
    <w:rsid w:val="78A06F06"/>
    <w:rsid w:val="78D23DE3"/>
    <w:rsid w:val="78DF41C0"/>
    <w:rsid w:val="78E9647B"/>
    <w:rsid w:val="79082868"/>
    <w:rsid w:val="79215460"/>
    <w:rsid w:val="79312496"/>
    <w:rsid w:val="79416086"/>
    <w:rsid w:val="79571EEB"/>
    <w:rsid w:val="79573170"/>
    <w:rsid w:val="79575459"/>
    <w:rsid w:val="796D2231"/>
    <w:rsid w:val="79796917"/>
    <w:rsid w:val="797A5AEA"/>
    <w:rsid w:val="79841607"/>
    <w:rsid w:val="79923266"/>
    <w:rsid w:val="79AF793E"/>
    <w:rsid w:val="79BE2782"/>
    <w:rsid w:val="79C67B14"/>
    <w:rsid w:val="79DD166B"/>
    <w:rsid w:val="79E33301"/>
    <w:rsid w:val="79FB1BA0"/>
    <w:rsid w:val="79FC71FB"/>
    <w:rsid w:val="7A39569D"/>
    <w:rsid w:val="7A556D32"/>
    <w:rsid w:val="7A721E14"/>
    <w:rsid w:val="7A741EC9"/>
    <w:rsid w:val="7AC33C00"/>
    <w:rsid w:val="7AD71E6E"/>
    <w:rsid w:val="7B2C2CB9"/>
    <w:rsid w:val="7B3E5D0C"/>
    <w:rsid w:val="7BB262B9"/>
    <w:rsid w:val="7BC2430B"/>
    <w:rsid w:val="7BEA2023"/>
    <w:rsid w:val="7C3159D5"/>
    <w:rsid w:val="7C42383C"/>
    <w:rsid w:val="7C6B6A4A"/>
    <w:rsid w:val="7C863051"/>
    <w:rsid w:val="7C89291F"/>
    <w:rsid w:val="7CA51475"/>
    <w:rsid w:val="7CB018DD"/>
    <w:rsid w:val="7CC758CD"/>
    <w:rsid w:val="7CF547F4"/>
    <w:rsid w:val="7D05083F"/>
    <w:rsid w:val="7D2D7F68"/>
    <w:rsid w:val="7D4E4EC2"/>
    <w:rsid w:val="7D547987"/>
    <w:rsid w:val="7D5C0C89"/>
    <w:rsid w:val="7D9B3224"/>
    <w:rsid w:val="7D9E0AFB"/>
    <w:rsid w:val="7DC12EA8"/>
    <w:rsid w:val="7DF32EA2"/>
    <w:rsid w:val="7E7651BF"/>
    <w:rsid w:val="7EBC6767"/>
    <w:rsid w:val="7ECB7283"/>
    <w:rsid w:val="7ECF5489"/>
    <w:rsid w:val="7ED2603A"/>
    <w:rsid w:val="7F0E25D8"/>
    <w:rsid w:val="7F344515"/>
    <w:rsid w:val="7F5C52D6"/>
    <w:rsid w:val="7F635EA1"/>
    <w:rsid w:val="7F7910A6"/>
    <w:rsid w:val="7F873093"/>
    <w:rsid w:val="7F994FD8"/>
    <w:rsid w:val="7FC20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jc w:val="center"/>
      <w:outlineLvl w:val="0"/>
    </w:pPr>
    <w:rPr>
      <w:rFonts w:ascii="楷体_GB2312" w:hAnsi="楷体_GB2312"/>
      <w:b/>
      <w:kern w:val="32"/>
      <w:sz w:val="36"/>
      <w:szCs w:val="20"/>
    </w:rPr>
  </w:style>
  <w:style w:type="paragraph" w:styleId="5">
    <w:name w:val="heading 2"/>
    <w:basedOn w:val="1"/>
    <w:next w:val="1"/>
    <w:qFormat/>
    <w:uiPriority w:val="0"/>
    <w:pPr>
      <w:keepNext/>
      <w:keepLines/>
      <w:spacing w:before="20" w:after="20" w:line="416" w:lineRule="auto"/>
      <w:outlineLvl w:val="1"/>
    </w:pPr>
    <w:rPr>
      <w:rFonts w:ascii="Arial" w:hAnsi="Arial"/>
      <w:b/>
      <w:bCs/>
      <w:sz w:val="24"/>
      <w:szCs w:val="32"/>
    </w:rPr>
  </w:style>
  <w:style w:type="paragraph" w:styleId="6">
    <w:name w:val="heading 3"/>
    <w:basedOn w:val="1"/>
    <w:next w:val="1"/>
    <w:qFormat/>
    <w:uiPriority w:val="0"/>
    <w:pPr>
      <w:spacing w:before="260" w:after="260"/>
      <w:outlineLvl w:val="2"/>
    </w:pPr>
    <w:rPr>
      <w:rFonts w:ascii="宋体" w:hAnsi="宋体"/>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qFormat/>
    <w:uiPriority w:val="0"/>
    <w:pPr>
      <w:keepNext/>
      <w:keepLines/>
      <w:spacing w:line="372" w:lineRule="auto"/>
      <w:outlineLvl w:val="4"/>
    </w:pPr>
    <w:rPr>
      <w:rFonts w:ascii="Calibri" w:hAnsi="Calibr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style>
  <w:style w:type="paragraph" w:styleId="3">
    <w:name w:val="Body Text"/>
    <w:basedOn w:val="1"/>
    <w:next w:val="1"/>
    <w:unhideWhenUsed/>
    <w:qFormat/>
    <w:uiPriority w:val="99"/>
    <w:pPr>
      <w:autoSpaceDE w:val="0"/>
      <w:autoSpaceDN w:val="0"/>
      <w:adjustRightInd w:val="0"/>
      <w:spacing w:before="185"/>
      <w:ind w:left="1080"/>
      <w:jc w:val="left"/>
    </w:pPr>
    <w:rPr>
      <w:rFonts w:ascii="宋体" w:cs="宋体"/>
      <w:kern w:val="0"/>
      <w:sz w:val="24"/>
    </w:rPr>
  </w:style>
  <w:style w:type="paragraph" w:styleId="9">
    <w:name w:val="Normal Indent"/>
    <w:basedOn w:val="1"/>
    <w:qFormat/>
    <w:uiPriority w:val="0"/>
    <w:pPr>
      <w:ind w:firstLine="420"/>
    </w:pPr>
    <w:rPr>
      <w:kern w:val="0"/>
      <w:sz w:val="20"/>
      <w:szCs w:val="20"/>
    </w:rPr>
  </w:style>
  <w:style w:type="paragraph" w:styleId="10">
    <w:name w:val="caption"/>
    <w:basedOn w:val="1"/>
    <w:next w:val="1"/>
    <w:qFormat/>
    <w:uiPriority w:val="0"/>
    <w:pPr>
      <w:spacing w:line="360" w:lineRule="auto"/>
      <w:jc w:val="center"/>
    </w:pPr>
    <w:rPr>
      <w:rFonts w:ascii="Cambria" w:hAnsi="Cambria" w:eastAsia="黑体"/>
      <w:sz w:val="20"/>
      <w:szCs w:val="20"/>
    </w:rPr>
  </w:style>
  <w:style w:type="paragraph" w:styleId="11">
    <w:name w:val="annotation text"/>
    <w:basedOn w:val="1"/>
    <w:link w:val="45"/>
    <w:qFormat/>
    <w:uiPriority w:val="0"/>
    <w:pPr>
      <w:jc w:val="left"/>
    </w:pPr>
  </w:style>
  <w:style w:type="paragraph" w:styleId="12">
    <w:name w:val="Body Text Indent"/>
    <w:basedOn w:val="1"/>
    <w:next w:val="13"/>
    <w:qFormat/>
    <w:uiPriority w:val="0"/>
    <w:pPr>
      <w:ind w:firstLine="560" w:firstLineChars="200"/>
    </w:pPr>
    <w:rPr>
      <w:sz w:val="28"/>
    </w:rPr>
  </w:style>
  <w:style w:type="paragraph" w:styleId="13">
    <w:name w:val="envelope return"/>
    <w:basedOn w:val="1"/>
    <w:qFormat/>
    <w:uiPriority w:val="0"/>
    <w:pPr>
      <w:snapToGrid w:val="0"/>
    </w:pPr>
    <w:rPr>
      <w:rFonts w:ascii="Arial" w:hAnsi="Arial"/>
    </w:rPr>
  </w:style>
  <w:style w:type="paragraph" w:styleId="14">
    <w:name w:val="Plain Text"/>
    <w:basedOn w:val="1"/>
    <w:qFormat/>
    <w:uiPriority w:val="99"/>
    <w:rPr>
      <w:rFonts w:ascii="宋体" w:hAnsi="Courier New"/>
      <w:kern w:val="0"/>
      <w:sz w:val="20"/>
      <w:szCs w:val="21"/>
    </w:rPr>
  </w:style>
  <w:style w:type="paragraph" w:styleId="15">
    <w:name w:val="Balloon Text"/>
    <w:basedOn w:val="1"/>
    <w:link w:val="46"/>
    <w:qFormat/>
    <w:uiPriority w:val="0"/>
    <w:rPr>
      <w:sz w:val="18"/>
      <w:szCs w:val="18"/>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rPr>
      <w:rFonts w:ascii="华文中宋" w:hAnsi="华文中宋" w:eastAsia="华文中宋"/>
      <w:b/>
      <w:sz w:val="28"/>
      <w:szCs w:val="28"/>
    </w:rPr>
  </w:style>
  <w:style w:type="paragraph" w:styleId="19">
    <w:name w:val="toc 6"/>
    <w:basedOn w:val="1"/>
    <w:next w:val="1"/>
    <w:qFormat/>
    <w:uiPriority w:val="39"/>
    <w:pPr>
      <w:ind w:left="2100" w:leftChars="1000"/>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11"/>
    <w:next w:val="11"/>
    <w:link w:val="47"/>
    <w:qFormat/>
    <w:uiPriority w:val="0"/>
    <w:rPr>
      <w:b/>
      <w:bCs/>
    </w:rPr>
  </w:style>
  <w:style w:type="paragraph" w:styleId="22">
    <w:name w:val="Body Text First Indent"/>
    <w:basedOn w:val="3"/>
    <w:next w:val="1"/>
    <w:qFormat/>
    <w:uiPriority w:val="0"/>
    <w:pPr>
      <w:spacing w:line="360" w:lineRule="auto"/>
      <w:ind w:firstLine="425"/>
      <w:jc w:val="both"/>
    </w:pPr>
    <w:rPr>
      <w:kern w:val="2"/>
    </w:rPr>
  </w:style>
  <w:style w:type="paragraph" w:styleId="23">
    <w:name w:val="Body Text First Indent 2"/>
    <w:basedOn w:val="12"/>
    <w:next w:val="1"/>
    <w:unhideWhenUsed/>
    <w:qFormat/>
    <w:uiPriority w:val="99"/>
    <w:pPr>
      <w:ind w:firstLine="420"/>
    </w:p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99"/>
    <w:rPr>
      <w:rFonts w:cs="Times New Roman"/>
      <w:b/>
      <w:bCs/>
    </w:rPr>
  </w:style>
  <w:style w:type="character" w:styleId="28">
    <w:name w:val="FollowedHyperlink"/>
    <w:basedOn w:val="26"/>
    <w:qFormat/>
    <w:uiPriority w:val="0"/>
    <w:rPr>
      <w:color w:val="800080"/>
      <w:u w:val="none"/>
    </w:rPr>
  </w:style>
  <w:style w:type="character" w:styleId="29">
    <w:name w:val="Emphasis"/>
    <w:basedOn w:val="26"/>
    <w:qFormat/>
    <w:uiPriority w:val="0"/>
  </w:style>
  <w:style w:type="character" w:styleId="30">
    <w:name w:val="HTML Definition"/>
    <w:basedOn w:val="26"/>
    <w:qFormat/>
    <w:uiPriority w:val="0"/>
  </w:style>
  <w:style w:type="character" w:styleId="31">
    <w:name w:val="HTML Typewriter"/>
    <w:basedOn w:val="26"/>
    <w:qFormat/>
    <w:uiPriority w:val="0"/>
    <w:rPr>
      <w:rFonts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basedOn w:val="26"/>
    <w:qFormat/>
    <w:uiPriority w:val="0"/>
    <w:rPr>
      <w:color w:val="0000FF"/>
      <w:u w:val="none"/>
    </w:rPr>
  </w:style>
  <w:style w:type="character" w:styleId="35">
    <w:name w:val="HTML Code"/>
    <w:basedOn w:val="26"/>
    <w:qFormat/>
    <w:uiPriority w:val="0"/>
    <w:rPr>
      <w:rFonts w:hint="default" w:ascii="monospace" w:hAnsi="monospace" w:eastAsia="monospace" w:cs="monospace"/>
      <w:sz w:val="20"/>
    </w:rPr>
  </w:style>
  <w:style w:type="character" w:styleId="36">
    <w:name w:val="annotation reference"/>
    <w:qFormat/>
    <w:uiPriority w:val="0"/>
    <w:rPr>
      <w:sz w:val="21"/>
      <w:szCs w:val="21"/>
    </w:rPr>
  </w:style>
  <w:style w:type="character" w:styleId="37">
    <w:name w:val="HTML Cite"/>
    <w:basedOn w:val="26"/>
    <w:qFormat/>
    <w:uiPriority w:val="0"/>
  </w:style>
  <w:style w:type="character" w:styleId="38">
    <w:name w:val="HTML Keyboard"/>
    <w:basedOn w:val="26"/>
    <w:qFormat/>
    <w:uiPriority w:val="0"/>
    <w:rPr>
      <w:rFonts w:hint="default" w:ascii="monospace" w:hAnsi="monospace" w:eastAsia="monospace" w:cs="monospace"/>
      <w:sz w:val="20"/>
    </w:rPr>
  </w:style>
  <w:style w:type="character" w:styleId="39">
    <w:name w:val="HTML Sample"/>
    <w:basedOn w:val="26"/>
    <w:qFormat/>
    <w:uiPriority w:val="0"/>
    <w:rPr>
      <w:rFonts w:hint="default" w:ascii="monospace" w:hAnsi="monospace" w:eastAsia="monospace" w:cs="monospace"/>
    </w:rPr>
  </w:style>
  <w:style w:type="paragraph" w:customStyle="1" w:styleId="40">
    <w:name w:val="toa heading1"/>
    <w:basedOn w:val="1"/>
    <w:next w:val="1"/>
    <w:qFormat/>
    <w:uiPriority w:val="0"/>
    <w:rPr>
      <w:rFonts w:ascii="Arial" w:hAnsi="Arial"/>
      <w:sz w:val="24"/>
    </w:rPr>
  </w:style>
  <w:style w:type="paragraph" w:customStyle="1" w:styleId="41">
    <w:name w:val="Heading2"/>
    <w:basedOn w:val="1"/>
    <w:next w:val="1"/>
    <w:qFormat/>
    <w:uiPriority w:val="0"/>
    <w:pPr>
      <w:keepNext/>
      <w:keepLines/>
      <w:spacing w:before="260" w:after="260" w:line="413" w:lineRule="auto"/>
      <w:ind w:firstLine="628"/>
      <w:jc w:val="center"/>
      <w:textAlignment w:val="baseline"/>
    </w:pPr>
    <w:rPr>
      <w:rFonts w:ascii="Arial" w:hAnsi="Arial" w:eastAsia="黑体"/>
      <w:b/>
      <w:bCs/>
      <w:sz w:val="32"/>
      <w:szCs w:val="32"/>
    </w:rPr>
  </w:style>
  <w:style w:type="paragraph" w:customStyle="1" w:styleId="42">
    <w:name w:val="Default"/>
    <w:next w:val="4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mu"/>
    <w:basedOn w:val="1"/>
    <w:qFormat/>
    <w:uiPriority w:val="0"/>
    <w:pPr>
      <w:widowControl/>
      <w:spacing w:before="280" w:after="280"/>
    </w:pPr>
    <w:rPr>
      <w:rFonts w:ascii="Ђˎ̥"/>
    </w:rPr>
  </w:style>
  <w:style w:type="paragraph" w:customStyle="1" w:styleId="44">
    <w:name w:val="首行缩进"/>
    <w:basedOn w:val="1"/>
    <w:qFormat/>
    <w:uiPriority w:val="0"/>
    <w:pPr>
      <w:spacing w:line="360" w:lineRule="auto"/>
      <w:ind w:firstLine="480" w:firstLineChars="200"/>
    </w:pPr>
    <w:rPr>
      <w:rFonts w:ascii="宋体" w:hAnsi="宋体" w:cs="宋体"/>
      <w:kern w:val="0"/>
      <w:sz w:val="24"/>
    </w:rPr>
  </w:style>
  <w:style w:type="character" w:customStyle="1" w:styleId="45">
    <w:name w:val="批注文字 Char"/>
    <w:link w:val="11"/>
    <w:qFormat/>
    <w:uiPriority w:val="0"/>
    <w:rPr>
      <w:kern w:val="2"/>
      <w:sz w:val="21"/>
      <w:szCs w:val="24"/>
    </w:rPr>
  </w:style>
  <w:style w:type="character" w:customStyle="1" w:styleId="46">
    <w:name w:val="批注框文本 Char"/>
    <w:link w:val="15"/>
    <w:qFormat/>
    <w:uiPriority w:val="0"/>
    <w:rPr>
      <w:kern w:val="2"/>
      <w:sz w:val="18"/>
      <w:szCs w:val="18"/>
    </w:rPr>
  </w:style>
  <w:style w:type="character" w:customStyle="1" w:styleId="47">
    <w:name w:val="批注主题 Char"/>
    <w:link w:val="21"/>
    <w:qFormat/>
    <w:uiPriority w:val="0"/>
    <w:rPr>
      <w:b/>
      <w:bCs/>
      <w:kern w:val="2"/>
      <w:sz w:val="21"/>
      <w:szCs w:val="24"/>
    </w:rPr>
  </w:style>
  <w:style w:type="character" w:customStyle="1" w:styleId="48">
    <w:name w:val="font61"/>
    <w:qFormat/>
    <w:uiPriority w:val="0"/>
    <w:rPr>
      <w:rFonts w:hint="eastAsia" w:ascii="宋体" w:hAnsi="宋体" w:eastAsia="宋体" w:cs="宋体"/>
      <w:color w:val="000000"/>
      <w:sz w:val="16"/>
      <w:szCs w:val="16"/>
      <w:u w:val="none"/>
    </w:rPr>
  </w:style>
  <w:style w:type="character" w:customStyle="1" w:styleId="49">
    <w:name w:val="font01"/>
    <w:qFormat/>
    <w:uiPriority w:val="0"/>
    <w:rPr>
      <w:rFonts w:hint="eastAsia" w:ascii="宋体" w:hAnsi="宋体" w:eastAsia="宋体" w:cs="宋体"/>
      <w:color w:val="000000"/>
      <w:sz w:val="20"/>
      <w:szCs w:val="20"/>
      <w:u w:val="none"/>
    </w:rPr>
  </w:style>
  <w:style w:type="character" w:customStyle="1" w:styleId="50">
    <w:name w:val="font121"/>
    <w:qFormat/>
    <w:uiPriority w:val="0"/>
    <w:rPr>
      <w:rFonts w:hint="eastAsia" w:ascii="宋体" w:hAnsi="宋体" w:eastAsia="宋体" w:cs="宋体"/>
      <w:color w:val="000000"/>
      <w:sz w:val="20"/>
      <w:szCs w:val="20"/>
      <w:u w:val="none"/>
    </w:rPr>
  </w:style>
  <w:style w:type="character" w:customStyle="1" w:styleId="51">
    <w:name w:val="font51"/>
    <w:qFormat/>
    <w:uiPriority w:val="0"/>
    <w:rPr>
      <w:rFonts w:hint="eastAsia" w:ascii="宋体" w:hAnsi="宋体" w:eastAsia="宋体" w:cs="宋体"/>
      <w:color w:val="000000"/>
      <w:sz w:val="20"/>
      <w:szCs w:val="20"/>
      <w:u w:val="none"/>
    </w:rPr>
  </w:style>
  <w:style w:type="character" w:customStyle="1" w:styleId="52">
    <w:name w:val="font31"/>
    <w:qFormat/>
    <w:uiPriority w:val="0"/>
    <w:rPr>
      <w:rFonts w:hint="default" w:ascii="Arial" w:hAnsi="Arial" w:cs="Arial"/>
      <w:color w:val="000000"/>
      <w:sz w:val="24"/>
      <w:szCs w:val="24"/>
      <w:u w:val="none"/>
    </w:rPr>
  </w:style>
  <w:style w:type="character" w:customStyle="1" w:styleId="53">
    <w:name w:val="font21"/>
    <w:qFormat/>
    <w:uiPriority w:val="0"/>
    <w:rPr>
      <w:rFonts w:hint="eastAsia" w:ascii="宋体" w:hAnsi="宋体" w:eastAsia="宋体" w:cs="宋体"/>
      <w:color w:val="000000"/>
      <w:sz w:val="20"/>
      <w:szCs w:val="20"/>
      <w:u w:val="none"/>
    </w:rPr>
  </w:style>
  <w:style w:type="character" w:customStyle="1" w:styleId="54">
    <w:name w:val="font91"/>
    <w:qFormat/>
    <w:uiPriority w:val="0"/>
    <w:rPr>
      <w:rFonts w:ascii="Calibri" w:hAnsi="Calibri" w:cs="Calibri"/>
      <w:color w:val="000000"/>
      <w:sz w:val="20"/>
      <w:szCs w:val="20"/>
      <w:u w:val="none"/>
    </w:rPr>
  </w:style>
  <w:style w:type="character" w:customStyle="1" w:styleId="55">
    <w:name w:val="font101"/>
    <w:qFormat/>
    <w:uiPriority w:val="0"/>
    <w:rPr>
      <w:rFonts w:hint="eastAsia" w:ascii="宋体" w:hAnsi="宋体" w:eastAsia="宋体" w:cs="宋体"/>
      <w:color w:val="000000"/>
      <w:sz w:val="20"/>
      <w:szCs w:val="20"/>
      <w:u w:val="none"/>
    </w:rPr>
  </w:style>
  <w:style w:type="character" w:customStyle="1" w:styleId="56">
    <w:name w:val="font131"/>
    <w:qFormat/>
    <w:uiPriority w:val="0"/>
    <w:rPr>
      <w:rFonts w:hint="eastAsia" w:ascii="宋体" w:hAnsi="宋体" w:eastAsia="宋体" w:cs="宋体"/>
      <w:color w:val="000000"/>
      <w:sz w:val="20"/>
      <w:szCs w:val="20"/>
      <w:u w:val="none"/>
      <w:vertAlign w:val="superscript"/>
    </w:rPr>
  </w:style>
  <w:style w:type="character" w:customStyle="1" w:styleId="57">
    <w:name w:val="font81"/>
    <w:qFormat/>
    <w:uiPriority w:val="0"/>
    <w:rPr>
      <w:rFonts w:ascii="Calibri" w:hAnsi="Calibri" w:cs="Calibri"/>
      <w:color w:val="000000"/>
      <w:sz w:val="20"/>
      <w:szCs w:val="20"/>
      <w:u w:val="none"/>
    </w:rPr>
  </w:style>
  <w:style w:type="character" w:customStyle="1" w:styleId="58">
    <w:name w:val="font11"/>
    <w:basedOn w:val="26"/>
    <w:qFormat/>
    <w:uiPriority w:val="0"/>
    <w:rPr>
      <w:rFonts w:hint="eastAsia" w:ascii="宋体" w:hAnsi="宋体" w:eastAsia="宋体" w:cs="宋体"/>
      <w:color w:val="000000"/>
      <w:sz w:val="20"/>
      <w:szCs w:val="20"/>
      <w:u w:val="none"/>
    </w:rPr>
  </w:style>
  <w:style w:type="character" w:customStyle="1" w:styleId="59">
    <w:name w:val="font41"/>
    <w:qFormat/>
    <w:uiPriority w:val="0"/>
    <w:rPr>
      <w:rFonts w:hint="eastAsia" w:ascii="宋体" w:hAnsi="宋体" w:eastAsia="宋体" w:cs="宋体"/>
      <w:color w:val="000000"/>
      <w:sz w:val="20"/>
      <w:szCs w:val="20"/>
      <w:u w:val="none"/>
    </w:rPr>
  </w:style>
  <w:style w:type="paragraph" w:customStyle="1" w:styleId="60">
    <w:name w:val="1级标题"/>
    <w:basedOn w:val="4"/>
    <w:qFormat/>
    <w:locked/>
    <w:uiPriority w:val="0"/>
    <w:pPr>
      <w:tabs>
        <w:tab w:val="left" w:pos="425"/>
      </w:tabs>
      <w:spacing w:before="120" w:after="120" w:line="360" w:lineRule="auto"/>
      <w:ind w:left="425" w:right="27" w:rightChars="13" w:hanging="425"/>
    </w:pPr>
    <w:rPr>
      <w:rFonts w:ascii="Times New Roman" w:hAnsi="Times New Roman"/>
      <w:lang w:val="zh-CN"/>
    </w:rPr>
  </w:style>
  <w:style w:type="paragraph" w:styleId="61">
    <w:name w:val="No Spacing"/>
    <w:basedOn w:val="1"/>
    <w:qFormat/>
    <w:uiPriority w:val="0"/>
    <w:pPr>
      <w:snapToGrid w:val="0"/>
      <w:spacing w:line="360" w:lineRule="auto"/>
      <w:jc w:val="left"/>
    </w:pPr>
  </w:style>
  <w:style w:type="paragraph" w:customStyle="1" w:styleId="62">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63">
    <w:name w:val="纯文本1"/>
    <w:basedOn w:val="1"/>
    <w:qFormat/>
    <w:uiPriority w:val="0"/>
    <w:rPr>
      <w:rFonts w:ascii="宋体" w:hAnsi="Courier New"/>
    </w:rPr>
  </w:style>
  <w:style w:type="paragraph" w:customStyle="1" w:styleId="64">
    <w:name w:val="标书正文"/>
    <w:basedOn w:val="1"/>
    <w:qFormat/>
    <w:uiPriority w:val="0"/>
    <w:pPr>
      <w:spacing w:before="120" w:after="120" w:line="360" w:lineRule="auto"/>
      <w:ind w:firstLine="431"/>
    </w:pPr>
    <w:rPr>
      <w:szCs w:val="21"/>
    </w:rPr>
  </w:style>
  <w:style w:type="paragraph" w:customStyle="1" w:styleId="65">
    <w:name w:val="Table Paragraph"/>
    <w:basedOn w:val="1"/>
    <w:qFormat/>
    <w:uiPriority w:val="1"/>
    <w:rPr>
      <w:rFonts w:ascii="宋体" w:hAnsi="宋体" w:cs="宋体"/>
    </w:rPr>
  </w:style>
  <w:style w:type="paragraph" w:styleId="66">
    <w:name w:val="List Paragraph"/>
    <w:basedOn w:val="1"/>
    <w:qFormat/>
    <w:uiPriority w:val="1"/>
    <w:pPr>
      <w:ind w:left="1252" w:hanging="554"/>
    </w:pPr>
    <w:rPr>
      <w:rFonts w:ascii="宋体" w:hAnsi="宋体" w:cs="宋体"/>
      <w:lang w:val="zh-CN" w:bidi="zh-CN"/>
    </w:rPr>
  </w:style>
  <w:style w:type="paragraph" w:customStyle="1" w:styleId="67">
    <w:name w:val="+标题3"/>
    <w:basedOn w:val="6"/>
    <w:qFormat/>
    <w:uiPriority w:val="0"/>
    <w:pPr>
      <w:tabs>
        <w:tab w:val="left" w:pos="632"/>
        <w:tab w:val="left" w:pos="720"/>
        <w:tab w:val="left" w:pos="833"/>
      </w:tabs>
      <w:spacing w:before="0" w:after="0" w:line="360" w:lineRule="auto"/>
      <w:ind w:left="833" w:hanging="833"/>
    </w:pPr>
    <w:rPr>
      <w:sz w:val="24"/>
      <w:szCs w:val="24"/>
    </w:rPr>
  </w:style>
  <w:style w:type="paragraph" w:customStyle="1" w:styleId="68">
    <w:name w:val="1 级标题"/>
    <w:basedOn w:val="60"/>
    <w:next w:val="69"/>
    <w:qFormat/>
    <w:uiPriority w:val="0"/>
    <w:pPr>
      <w:pageBreakBefore/>
      <w:tabs>
        <w:tab w:val="left" w:pos="432"/>
        <w:tab w:val="clear" w:pos="425"/>
      </w:tabs>
      <w:wordWrap w:val="0"/>
      <w:ind w:left="432" w:right="-197" w:rightChars="-94" w:hanging="432"/>
    </w:pPr>
  </w:style>
  <w:style w:type="paragraph" w:customStyle="1" w:styleId="69">
    <w:name w:val="正文内容"/>
    <w:basedOn w:val="1"/>
    <w:qFormat/>
    <w:uiPriority w:val="0"/>
    <w:pPr>
      <w:adjustRightInd w:val="0"/>
      <w:spacing w:line="360" w:lineRule="auto"/>
      <w:ind w:firstLine="200" w:firstLineChars="200"/>
    </w:pPr>
    <w:rPr>
      <w:sz w:val="24"/>
      <w:lang w:val="zh-CN"/>
    </w:rPr>
  </w:style>
  <w:style w:type="paragraph" w:customStyle="1" w:styleId="70">
    <w:name w:val="表格文字"/>
    <w:basedOn w:val="1"/>
    <w:qFormat/>
    <w:uiPriority w:val="0"/>
    <w:pPr>
      <w:spacing w:before="25" w:after="25"/>
    </w:pPr>
    <w:rPr>
      <w:rFonts w:ascii="Calibri" w:hAnsi="Calibri"/>
      <w:bCs/>
      <w:spacing w:val="10"/>
    </w:rPr>
  </w:style>
  <w:style w:type="paragraph" w:customStyle="1" w:styleId="71">
    <w:name w:val="3 级标题"/>
    <w:basedOn w:val="6"/>
    <w:next w:val="69"/>
    <w:qFormat/>
    <w:uiPriority w:val="0"/>
    <w:pPr>
      <w:tabs>
        <w:tab w:val="left" w:pos="432"/>
        <w:tab w:val="left" w:pos="4832"/>
      </w:tabs>
      <w:wordWrap w:val="0"/>
      <w:adjustRightInd w:val="0"/>
      <w:spacing w:before="120" w:after="120" w:line="360" w:lineRule="auto"/>
      <w:ind w:left="993" w:right="27" w:rightChars="13" w:hanging="567"/>
      <w:jc w:val="left"/>
    </w:pPr>
    <w:rPr>
      <w:sz w:val="28"/>
      <w:lang w:val="zh-CN"/>
    </w:rPr>
  </w:style>
  <w:style w:type="paragraph" w:customStyle="1" w:styleId="72">
    <w:name w:val="*正文"/>
    <w:basedOn w:val="1"/>
    <w:qFormat/>
    <w:uiPriority w:val="0"/>
    <w:pPr>
      <w:spacing w:line="360" w:lineRule="auto"/>
      <w:ind w:firstLine="200" w:firstLineChars="200"/>
    </w:pPr>
    <w:rPr>
      <w:rFonts w:ascii="宋体" w:hAnsi="宋体" w:cs="仿宋_GB2312"/>
      <w:sz w:val="24"/>
    </w:rPr>
  </w:style>
  <w:style w:type="paragraph" w:customStyle="1" w:styleId="73">
    <w:name w:val="p0"/>
    <w:basedOn w:val="1"/>
    <w:qFormat/>
    <w:uiPriority w:val="99"/>
    <w:pPr>
      <w:widowControl/>
    </w:pPr>
    <w:rPr>
      <w:kern w:val="0"/>
      <w:szCs w:val="21"/>
    </w:rPr>
  </w:style>
  <w:style w:type="paragraph" w:customStyle="1" w:styleId="74">
    <w:name w:val="样式11"/>
    <w:basedOn w:val="1"/>
    <w:qFormat/>
    <w:uiPriority w:val="0"/>
    <w:pPr>
      <w:adjustRightInd w:val="0"/>
      <w:snapToGrid w:val="0"/>
      <w:spacing w:line="360" w:lineRule="auto"/>
      <w:ind w:firstLine="200" w:firstLineChars="200"/>
      <w:jc w:val="left"/>
    </w:pPr>
    <w:rPr>
      <w:rFonts w:ascii="Calibri" w:hAnsi="Calibri"/>
      <w:kern w:val="0"/>
      <w:sz w:val="28"/>
      <w:szCs w:val="20"/>
    </w:rPr>
  </w:style>
  <w:style w:type="paragraph" w:customStyle="1" w:styleId="75">
    <w:name w:val="tc"/>
    <w:basedOn w:val="1"/>
    <w:qFormat/>
    <w:uiPriority w:val="0"/>
    <w:pPr>
      <w:jc w:val="center"/>
    </w:pPr>
    <w:rPr>
      <w:kern w:val="0"/>
    </w:rPr>
  </w:style>
  <w:style w:type="paragraph" w:customStyle="1" w:styleId="76">
    <w:name w:val="文档正文"/>
    <w:basedOn w:val="1"/>
    <w:qFormat/>
    <w:uiPriority w:val="0"/>
    <w:pPr>
      <w:ind w:firstLine="482"/>
    </w:pPr>
  </w:style>
  <w:style w:type="paragraph" w:customStyle="1" w:styleId="77">
    <w:name w:val="样式 段前: 0.25 行 段后: 0.25 行"/>
    <w:basedOn w:val="1"/>
    <w:qFormat/>
    <w:uiPriority w:val="0"/>
    <w:pPr>
      <w:adjustRightInd w:val="0"/>
      <w:snapToGrid w:val="0"/>
      <w:spacing w:beforeLines="25" w:afterLines="25" w:line="440" w:lineRule="exact"/>
      <w:ind w:firstLine="567"/>
      <w:jc w:val="left"/>
      <w:textAlignment w:val="baseline"/>
    </w:pPr>
    <w:rPr>
      <w:rFonts w:eastAsia="仿宋_GB2312" w:cs="宋体"/>
      <w:kern w:val="0"/>
      <w:sz w:val="28"/>
      <w:szCs w:val="20"/>
    </w:rPr>
  </w:style>
  <w:style w:type="paragraph" w:customStyle="1" w:styleId="78">
    <w:name w:val="列出段落2"/>
    <w:basedOn w:val="1"/>
    <w:qFormat/>
    <w:uiPriority w:val="99"/>
    <w:pPr>
      <w:ind w:firstLine="200" w:firstLineChars="200"/>
    </w:pPr>
    <w:rPr>
      <w:rFonts w:ascii="Calibri" w:hAnsi="Calibri"/>
      <w:szCs w:val="22"/>
    </w:rPr>
  </w:style>
  <w:style w:type="paragraph" w:customStyle="1" w:styleId="79">
    <w:name w:val="表1"/>
    <w:basedOn w:val="1"/>
    <w:qFormat/>
    <w:uiPriority w:val="0"/>
    <w:pPr>
      <w:spacing w:line="360" w:lineRule="auto"/>
      <w:ind w:left="900"/>
      <w:jc w:val="center"/>
    </w:pPr>
    <w:rPr>
      <w:rFonts w:ascii="Arial" w:hAnsi="Arial" w:cs="宋体"/>
      <w:szCs w:val="20"/>
    </w:rPr>
  </w:style>
  <w:style w:type="paragraph" w:customStyle="1" w:styleId="80">
    <w:name w:val="+正文"/>
    <w:basedOn w:val="1"/>
    <w:qFormat/>
    <w:uiPriority w:val="0"/>
    <w:pPr>
      <w:spacing w:after="200" w:line="360" w:lineRule="auto"/>
      <w:ind w:firstLine="200" w:firstLineChars="200"/>
      <w:jc w:val="left"/>
    </w:pPr>
    <w:rPr>
      <w:rFonts w:ascii="Calibri" w:hAnsi="Calibri" w:eastAsia="Calibri"/>
      <w:kern w:val="0"/>
      <w:sz w:val="24"/>
      <w:szCs w:val="28"/>
      <w:lang w:eastAsia="en-US"/>
    </w:rPr>
  </w:style>
  <w:style w:type="character" w:customStyle="1" w:styleId="81">
    <w:name w:val="font22"/>
    <w:basedOn w:val="26"/>
    <w:qFormat/>
    <w:uiPriority w:val="0"/>
    <w:rPr>
      <w:rFonts w:hint="eastAsia" w:ascii="宋体" w:hAnsi="宋体" w:eastAsia="宋体" w:cs="宋体"/>
      <w:color w:val="000000"/>
      <w:sz w:val="22"/>
      <w:szCs w:val="22"/>
      <w:u w:val="none"/>
    </w:rPr>
  </w:style>
  <w:style w:type="character" w:customStyle="1" w:styleId="82">
    <w:name w:val="font171"/>
    <w:basedOn w:val="26"/>
    <w:qFormat/>
    <w:uiPriority w:val="0"/>
    <w:rPr>
      <w:rFonts w:hint="eastAsia" w:ascii="宋体" w:hAnsi="宋体" w:eastAsia="宋体" w:cs="宋体"/>
      <w:color w:val="000000"/>
      <w:sz w:val="22"/>
      <w:szCs w:val="22"/>
      <w:u w:val="none"/>
    </w:rPr>
  </w:style>
  <w:style w:type="character" w:customStyle="1" w:styleId="83">
    <w:name w:val="font181"/>
    <w:basedOn w:val="26"/>
    <w:qFormat/>
    <w:uiPriority w:val="0"/>
    <w:rPr>
      <w:rFonts w:hint="default" w:ascii="Times New Roman" w:hAnsi="Times New Roman" w:cs="Times New Roman"/>
      <w:color w:val="000000"/>
      <w:sz w:val="12"/>
      <w:szCs w:val="12"/>
      <w:u w:val="none"/>
    </w:rPr>
  </w:style>
  <w:style w:type="character" w:customStyle="1" w:styleId="84">
    <w:name w:val="font191"/>
    <w:basedOn w:val="26"/>
    <w:qFormat/>
    <w:uiPriority w:val="0"/>
    <w:rPr>
      <w:rFonts w:hint="eastAsia" w:ascii="宋体" w:hAnsi="宋体" w:eastAsia="宋体" w:cs="宋体"/>
      <w:color w:val="000000"/>
      <w:sz w:val="20"/>
      <w:szCs w:val="20"/>
      <w:u w:val="none"/>
    </w:rPr>
  </w:style>
  <w:style w:type="character" w:customStyle="1" w:styleId="85">
    <w:name w:val="font112"/>
    <w:basedOn w:val="26"/>
    <w:qFormat/>
    <w:uiPriority w:val="0"/>
    <w:rPr>
      <w:rFonts w:hint="default" w:ascii="Times New Roman" w:hAnsi="Times New Roman" w:cs="Times New Roman"/>
      <w:color w:val="000000"/>
      <w:sz w:val="16"/>
      <w:szCs w:val="16"/>
      <w:u w:val="none"/>
    </w:rPr>
  </w:style>
  <w:style w:type="character" w:customStyle="1" w:styleId="86">
    <w:name w:val="font211"/>
    <w:basedOn w:val="26"/>
    <w:qFormat/>
    <w:uiPriority w:val="0"/>
    <w:rPr>
      <w:rFonts w:hint="eastAsia" w:ascii="宋体" w:hAnsi="宋体" w:eastAsia="宋体" w:cs="宋体"/>
      <w:color w:val="000000"/>
      <w:sz w:val="16"/>
      <w:szCs w:val="16"/>
      <w:u w:val="none"/>
    </w:rPr>
  </w:style>
  <w:style w:type="character" w:customStyle="1" w:styleId="87">
    <w:name w:val="font222"/>
    <w:basedOn w:val="26"/>
    <w:qFormat/>
    <w:uiPriority w:val="0"/>
    <w:rPr>
      <w:rFonts w:hint="eastAsia" w:ascii="宋体" w:hAnsi="宋体" w:eastAsia="宋体" w:cs="宋体"/>
      <w:color w:val="000000"/>
      <w:sz w:val="20"/>
      <w:szCs w:val="20"/>
      <w:u w:val="none"/>
    </w:rPr>
  </w:style>
  <w:style w:type="character" w:customStyle="1" w:styleId="88">
    <w:name w:val="font161"/>
    <w:basedOn w:val="26"/>
    <w:qFormat/>
    <w:uiPriority w:val="0"/>
    <w:rPr>
      <w:rFonts w:hint="eastAsia" w:ascii="宋体" w:hAnsi="宋体" w:eastAsia="宋体" w:cs="宋体"/>
      <w:color w:val="000000"/>
      <w:sz w:val="18"/>
      <w:szCs w:val="18"/>
      <w:u w:val="none"/>
    </w:rPr>
  </w:style>
  <w:style w:type="character" w:customStyle="1" w:styleId="89">
    <w:name w:val="font151"/>
    <w:basedOn w:val="26"/>
    <w:qFormat/>
    <w:uiPriority w:val="0"/>
    <w:rPr>
      <w:rFonts w:hint="eastAsia" w:ascii="宋体" w:hAnsi="宋体" w:eastAsia="宋体" w:cs="宋体"/>
      <w:color w:val="000000"/>
      <w:sz w:val="16"/>
      <w:szCs w:val="16"/>
      <w:u w:val="none"/>
    </w:rPr>
  </w:style>
  <w:style w:type="character" w:customStyle="1" w:styleId="90">
    <w:name w:val="font201"/>
    <w:basedOn w:val="26"/>
    <w:qFormat/>
    <w:uiPriority w:val="0"/>
    <w:rPr>
      <w:rFonts w:hint="default" w:ascii="Times New Roman" w:hAnsi="Times New Roman" w:cs="Times New Roman"/>
      <w:color w:val="000000"/>
      <w:sz w:val="16"/>
      <w:szCs w:val="16"/>
      <w:u w:val="none"/>
    </w:rPr>
  </w:style>
  <w:style w:type="character" w:customStyle="1" w:styleId="91">
    <w:name w:val="font241"/>
    <w:basedOn w:val="26"/>
    <w:qFormat/>
    <w:uiPriority w:val="0"/>
    <w:rPr>
      <w:rFonts w:hint="eastAsia" w:ascii="宋体" w:hAnsi="宋体" w:eastAsia="宋体" w:cs="宋体"/>
      <w:color w:val="000000"/>
      <w:sz w:val="22"/>
      <w:szCs w:val="22"/>
      <w:u w:val="none"/>
    </w:rPr>
  </w:style>
  <w:style w:type="character" w:customStyle="1" w:styleId="92">
    <w:name w:val="font251"/>
    <w:basedOn w:val="26"/>
    <w:qFormat/>
    <w:uiPriority w:val="0"/>
    <w:rPr>
      <w:rFonts w:hint="default" w:ascii="Times New Roman" w:hAnsi="Times New Roman" w:cs="Times New Roman"/>
      <w:color w:val="000000"/>
      <w:sz w:val="12"/>
      <w:szCs w:val="12"/>
      <w:u w:val="none"/>
    </w:rPr>
  </w:style>
  <w:style w:type="character" w:customStyle="1" w:styleId="93">
    <w:name w:val="font71"/>
    <w:basedOn w:val="26"/>
    <w:qFormat/>
    <w:uiPriority w:val="0"/>
    <w:rPr>
      <w:rFonts w:hint="default" w:ascii="Times New Roman" w:hAnsi="Times New Roman" w:cs="Times New Roman"/>
      <w:color w:val="000000"/>
      <w:sz w:val="21"/>
      <w:szCs w:val="21"/>
      <w:u w:val="none"/>
    </w:rPr>
  </w:style>
  <w:style w:type="character" w:customStyle="1" w:styleId="94">
    <w:name w:val="font261"/>
    <w:basedOn w:val="26"/>
    <w:qFormat/>
    <w:uiPriority w:val="0"/>
    <w:rPr>
      <w:rFonts w:hint="eastAsia" w:ascii="宋体" w:hAnsi="宋体" w:eastAsia="宋体" w:cs="宋体"/>
      <w:color w:val="000000"/>
      <w:sz w:val="20"/>
      <w:szCs w:val="20"/>
      <w:u w:val="none"/>
    </w:rPr>
  </w:style>
  <w:style w:type="character" w:customStyle="1" w:styleId="95">
    <w:name w:val="font281"/>
    <w:basedOn w:val="26"/>
    <w:qFormat/>
    <w:uiPriority w:val="0"/>
    <w:rPr>
      <w:rFonts w:hint="eastAsia" w:ascii="宋体" w:hAnsi="宋体" w:eastAsia="宋体" w:cs="宋体"/>
      <w:color w:val="000000"/>
      <w:sz w:val="16"/>
      <w:szCs w:val="16"/>
      <w:u w:val="none"/>
    </w:rPr>
  </w:style>
  <w:style w:type="character" w:customStyle="1" w:styleId="96">
    <w:name w:val="font291"/>
    <w:basedOn w:val="26"/>
    <w:qFormat/>
    <w:uiPriority w:val="0"/>
    <w:rPr>
      <w:rFonts w:hint="eastAsia" w:ascii="宋体" w:hAnsi="宋体" w:eastAsia="宋体" w:cs="宋体"/>
      <w:color w:val="000000"/>
      <w:sz w:val="20"/>
      <w:szCs w:val="20"/>
      <w:u w:val="none"/>
    </w:rPr>
  </w:style>
  <w:style w:type="character" w:customStyle="1" w:styleId="97">
    <w:name w:val="font231"/>
    <w:basedOn w:val="26"/>
    <w:qFormat/>
    <w:uiPriority w:val="0"/>
    <w:rPr>
      <w:rFonts w:hint="eastAsia" w:ascii="宋体" w:hAnsi="宋体" w:eastAsia="宋体" w:cs="宋体"/>
      <w:color w:val="000000"/>
      <w:sz w:val="18"/>
      <w:szCs w:val="18"/>
      <w:u w:val="none"/>
    </w:rPr>
  </w:style>
  <w:style w:type="character" w:customStyle="1" w:styleId="98">
    <w:name w:val="font271"/>
    <w:basedOn w:val="26"/>
    <w:qFormat/>
    <w:uiPriority w:val="0"/>
    <w:rPr>
      <w:rFonts w:hint="default" w:ascii="Times New Roman" w:hAnsi="Times New Roman" w:cs="Times New Roman"/>
      <w:color w:val="000000"/>
      <w:sz w:val="16"/>
      <w:szCs w:val="16"/>
      <w:u w:val="none"/>
    </w:rPr>
  </w:style>
  <w:style w:type="character" w:customStyle="1" w:styleId="99">
    <w:name w:val="font221"/>
    <w:basedOn w:val="26"/>
    <w:qFormat/>
    <w:uiPriority w:val="0"/>
    <w:rPr>
      <w:rFonts w:hint="eastAsia" w:ascii="宋体" w:hAnsi="宋体" w:eastAsia="宋体" w:cs="宋体"/>
      <w:color w:val="FF0000"/>
      <w:sz w:val="18"/>
      <w:szCs w:val="18"/>
      <w:u w:val="none"/>
    </w:rPr>
  </w:style>
  <w:style w:type="character" w:customStyle="1" w:styleId="100">
    <w:name w:val="font212"/>
    <w:basedOn w:val="26"/>
    <w:qFormat/>
    <w:uiPriority w:val="0"/>
    <w:rPr>
      <w:rFonts w:hint="default" w:ascii="Times New Roman" w:hAnsi="Times New Roman" w:cs="Times New Roman"/>
      <w:color w:val="FF0000"/>
      <w:sz w:val="21"/>
      <w:szCs w:val="21"/>
      <w:u w:val="none"/>
    </w:rPr>
  </w:style>
  <w:style w:type="character" w:customStyle="1" w:styleId="101">
    <w:name w:val="font12"/>
    <w:basedOn w:val="26"/>
    <w:qFormat/>
    <w:uiPriority w:val="0"/>
    <w:rPr>
      <w:rFonts w:hint="eastAsia" w:ascii="宋体" w:hAnsi="宋体" w:eastAsia="宋体" w:cs="宋体"/>
      <w:color w:val="000000"/>
      <w:sz w:val="21"/>
      <w:szCs w:val="21"/>
      <w:u w:val="none"/>
    </w:rPr>
  </w:style>
  <w:style w:type="character" w:customStyle="1" w:styleId="102">
    <w:name w:val="font122"/>
    <w:basedOn w:val="26"/>
    <w:qFormat/>
    <w:uiPriority w:val="0"/>
    <w:rPr>
      <w:rFonts w:hint="default" w:ascii="Times New Roman" w:hAnsi="Times New Roman" w:cs="Times New Roman"/>
      <w:color w:val="000000"/>
      <w:sz w:val="18"/>
      <w:szCs w:val="18"/>
      <w:u w:val="none"/>
    </w:rPr>
  </w:style>
  <w:style w:type="character" w:customStyle="1" w:styleId="103">
    <w:name w:val="font141"/>
    <w:basedOn w:val="26"/>
    <w:qFormat/>
    <w:uiPriority w:val="0"/>
    <w:rPr>
      <w:rFonts w:hint="eastAsia" w:ascii="宋体" w:hAnsi="宋体" w:eastAsia="宋体" w:cs="宋体"/>
      <w:color w:val="000000"/>
      <w:sz w:val="16"/>
      <w:szCs w:val="16"/>
      <w:u w:val="none"/>
    </w:rPr>
  </w:style>
  <w:style w:type="paragraph" w:customStyle="1" w:styleId="104">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05">
    <w:name w:val="列出段落1"/>
    <w:basedOn w:val="1"/>
    <w:qFormat/>
    <w:uiPriority w:val="34"/>
    <w:pPr>
      <w:ind w:firstLine="420" w:firstLineChars="200"/>
    </w:pPr>
  </w:style>
  <w:style w:type="character" w:customStyle="1" w:styleId="106">
    <w:name w:val="first-child"/>
    <w:basedOn w:val="26"/>
    <w:qFormat/>
    <w:uiPriority w:val="0"/>
  </w:style>
  <w:style w:type="character" w:customStyle="1" w:styleId="107">
    <w:name w:val="layui-layer-tabnow"/>
    <w:basedOn w:val="26"/>
    <w:qFormat/>
    <w:uiPriority w:val="0"/>
    <w:rPr>
      <w:bdr w:val="single" w:color="CCCCCC" w:sz="6" w:space="0"/>
      <w:shd w:val="clear" w:color="auto" w:fill="FFFFFF"/>
    </w:rPr>
  </w:style>
  <w:style w:type="table" w:customStyle="1" w:styleId="108">
    <w:name w:val="Table Normal"/>
    <w:unhideWhenUsed/>
    <w:qFormat/>
    <w:uiPriority w:val="2"/>
    <w:tblPr>
      <w:tblCellMar>
        <w:top w:w="0" w:type="dxa"/>
        <w:left w:w="0" w:type="dxa"/>
        <w:bottom w:w="0" w:type="dxa"/>
        <w:right w:w="0" w:type="dxa"/>
      </w:tblCellMar>
    </w:tblPr>
  </w:style>
  <w:style w:type="paragraph" w:customStyle="1" w:styleId="109">
    <w:name w:val="列出段落111"/>
    <w:basedOn w:val="1"/>
    <w:qFormat/>
    <w:uiPriority w:val="0"/>
    <w:pPr>
      <w:spacing w:line="360" w:lineRule="auto"/>
      <w:ind w:firstLine="420" w:firstLineChars="200"/>
    </w:pPr>
    <w:rPr>
      <w:rFonts w:ascii="Calibri" w:hAnsi="Calibri"/>
      <w:szCs w:val="22"/>
    </w:rPr>
  </w:style>
  <w:style w:type="character" w:customStyle="1" w:styleId="110">
    <w:name w:val="qxdate"/>
    <w:basedOn w:val="26"/>
    <w:qFormat/>
    <w:uiPriority w:val="0"/>
    <w:rPr>
      <w:color w:val="333333"/>
      <w:sz w:val="18"/>
      <w:szCs w:val="18"/>
    </w:rPr>
  </w:style>
  <w:style w:type="character" w:customStyle="1" w:styleId="111">
    <w:name w:val="redfilefwwh"/>
    <w:basedOn w:val="26"/>
    <w:qFormat/>
    <w:uiPriority w:val="0"/>
    <w:rPr>
      <w:color w:val="BA2636"/>
      <w:sz w:val="18"/>
      <w:szCs w:val="18"/>
    </w:rPr>
  </w:style>
  <w:style w:type="character" w:customStyle="1" w:styleId="112">
    <w:name w:val="cfdate"/>
    <w:basedOn w:val="26"/>
    <w:qFormat/>
    <w:uiPriority w:val="0"/>
    <w:rPr>
      <w:color w:val="333333"/>
      <w:sz w:val="18"/>
      <w:szCs w:val="18"/>
    </w:rPr>
  </w:style>
  <w:style w:type="character" w:customStyle="1" w:styleId="113">
    <w:name w:val="next2"/>
    <w:basedOn w:val="26"/>
    <w:qFormat/>
    <w:uiPriority w:val="0"/>
    <w:rPr>
      <w:color w:val="888888"/>
    </w:rPr>
  </w:style>
  <w:style w:type="character" w:customStyle="1" w:styleId="114">
    <w:name w:val="next3"/>
    <w:basedOn w:val="26"/>
    <w:qFormat/>
    <w:uiPriority w:val="0"/>
    <w:rPr>
      <w:rFonts w:ascii="微软雅黑" w:hAnsi="微软雅黑" w:eastAsia="微软雅黑" w:cs="微软雅黑"/>
      <w:sz w:val="21"/>
      <w:szCs w:val="21"/>
    </w:rPr>
  </w:style>
  <w:style w:type="character" w:customStyle="1" w:styleId="115">
    <w:name w:val="prev"/>
    <w:basedOn w:val="26"/>
    <w:qFormat/>
    <w:uiPriority w:val="0"/>
    <w:rPr>
      <w:color w:val="888888"/>
    </w:rPr>
  </w:style>
  <w:style w:type="character" w:customStyle="1" w:styleId="116">
    <w:name w:val="prev1"/>
    <w:basedOn w:val="26"/>
    <w:qFormat/>
    <w:uiPriority w:val="0"/>
    <w:rPr>
      <w:rFonts w:hint="eastAsia" w:ascii="微软雅黑" w:hAnsi="微软雅黑" w:eastAsia="微软雅黑" w:cs="微软雅黑"/>
      <w:sz w:val="21"/>
      <w:szCs w:val="21"/>
    </w:rPr>
  </w:style>
  <w:style w:type="character" w:customStyle="1" w:styleId="117">
    <w:name w:val="displayarti"/>
    <w:basedOn w:val="26"/>
    <w:qFormat/>
    <w:uiPriority w:val="0"/>
    <w:rPr>
      <w:color w:val="FFFFFF"/>
      <w:shd w:val="clear" w:color="auto" w:fill="A00000"/>
    </w:rPr>
  </w:style>
  <w:style w:type="character" w:customStyle="1" w:styleId="118">
    <w:name w:val="redfilenumber"/>
    <w:basedOn w:val="26"/>
    <w:qFormat/>
    <w:uiPriority w:val="0"/>
    <w:rPr>
      <w:color w:val="BA2636"/>
      <w:sz w:val="18"/>
      <w:szCs w:val="18"/>
    </w:rPr>
  </w:style>
  <w:style w:type="character" w:customStyle="1" w:styleId="119">
    <w:name w:val="gjfg"/>
    <w:basedOn w:val="26"/>
    <w:qFormat/>
    <w:uiPriority w:val="0"/>
  </w:style>
  <w:style w:type="character" w:customStyle="1" w:styleId="120">
    <w:name w:val="next"/>
    <w:basedOn w:val="26"/>
    <w:qFormat/>
    <w:uiPriority w:val="0"/>
    <w:rPr>
      <w:rFonts w:ascii="微软雅黑" w:hAnsi="微软雅黑" w:eastAsia="微软雅黑" w:cs="微软雅黑"/>
      <w:sz w:val="21"/>
      <w:szCs w:val="21"/>
    </w:rPr>
  </w:style>
  <w:style w:type="character" w:customStyle="1" w:styleId="121">
    <w:name w:val="next1"/>
    <w:basedOn w:val="26"/>
    <w:qFormat/>
    <w:uiPriority w:val="0"/>
    <w:rPr>
      <w:color w:val="325594"/>
      <w:shd w:val="clear" w:color="auto" w:fill="F5F5F5"/>
    </w:rPr>
  </w:style>
  <w:style w:type="character" w:customStyle="1" w:styleId="122">
    <w:name w:val="prev2"/>
    <w:basedOn w:val="26"/>
    <w:qFormat/>
    <w:uiPriority w:val="0"/>
    <w:rPr>
      <w:color w:val="888888"/>
    </w:rPr>
  </w:style>
  <w:style w:type="character" w:customStyle="1" w:styleId="123">
    <w:name w:val="prev3"/>
    <w:basedOn w:val="26"/>
    <w:qFormat/>
    <w:uiPriority w:val="0"/>
    <w:rPr>
      <w:rFonts w:ascii="微软雅黑" w:hAnsi="微软雅黑" w:eastAsia="微软雅黑" w:cs="微软雅黑"/>
      <w:sz w:val="21"/>
      <w:szCs w:val="21"/>
    </w:rPr>
  </w:style>
  <w:style w:type="paragraph" w:customStyle="1" w:styleId="124">
    <w:name w:val="BodyText1I2"/>
    <w:basedOn w:val="1"/>
    <w:qFormat/>
    <w:uiPriority w:val="0"/>
    <w:pPr>
      <w:spacing w:after="120"/>
      <w:ind w:left="420" w:leftChars="200" w:firstLine="420" w:firstLineChars="200"/>
      <w:textAlignment w:val="baseline"/>
    </w:pPr>
    <w:rPr>
      <w:rFonts w:hAnsi="宋体" w:eastAsia="仿宋_GB2312"/>
      <w:b/>
      <w:spacing w:val="4"/>
      <w:szCs w:val="28"/>
    </w:rPr>
  </w:style>
  <w:style w:type="paragraph" w:customStyle="1" w:styleId="125">
    <w:name w:val="表格内容"/>
    <w:basedOn w:val="1"/>
    <w:qFormat/>
    <w:uiPriority w:val="0"/>
    <w:pPr>
      <w:tabs>
        <w:tab w:val="left" w:pos="0"/>
      </w:tabs>
      <w:jc w:val="center"/>
    </w:pPr>
    <w:rPr>
      <w:rFonts w:ascii="宋体" w:hAnsi="宋体"/>
      <w:sz w:val="24"/>
      <w:szCs w:val="20"/>
    </w:rPr>
  </w:style>
  <w:style w:type="paragraph" w:customStyle="1" w:styleId="126">
    <w:name w:val="Table Text"/>
    <w:basedOn w:val="1"/>
    <w:semiHidden/>
    <w:qFormat/>
    <w:uiPriority w:val="0"/>
    <w:rPr>
      <w:rFonts w:ascii="仿宋" w:hAnsi="仿宋" w:eastAsia="仿宋" w:cs="仿宋"/>
      <w:sz w:val="28"/>
      <w:szCs w:val="28"/>
      <w:lang w:eastAsia="en-US"/>
    </w:rPr>
  </w:style>
  <w:style w:type="character" w:customStyle="1" w:styleId="127">
    <w:name w:val="NormalCharacter"/>
    <w:qFormat/>
    <w:uiPriority w:val="0"/>
  </w:style>
  <w:style w:type="paragraph" w:customStyle="1" w:styleId="128">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129">
    <w:name w:val="普通正文"/>
    <w:basedOn w:val="1"/>
    <w:qFormat/>
    <w:uiPriority w:val="0"/>
    <w:pPr>
      <w:ind w:firstLine="480"/>
      <w:jc w:val="left"/>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5"/>
    <customShpInfo spid="_x0000_s206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4888</Words>
  <Characters>27863</Characters>
  <Lines>232</Lines>
  <Paragraphs>65</Paragraphs>
  <TotalTime>1490</TotalTime>
  <ScaleCrop>false</ScaleCrop>
  <LinksUpToDate>false</LinksUpToDate>
  <CharactersWithSpaces>32686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2021-12-15T14:38:00Z</dcterms:created>
  <dc:creator>Administrator</dc:creator>
  <cp:lastModifiedBy>悠扬风笛</cp:lastModifiedBy>
  <cp:lastPrinted>2022-11-03T10:13:00Z</cp:lastPrinted>
  <dcterms:modified xsi:type="dcterms:W3CDTF">2023-08-04T09:43:04Z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B2410E49FD944FCFA6EC4D283A3110E6_13</vt:lpwstr>
  </property>
</Properties>
</file>