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简体" w:eastAsia="方正小标宋简体" w:hAnsiTheme="majorEastAsia" w:cstheme="majorEastAsia"/>
          <w:color w:val="333333"/>
          <w:sz w:val="44"/>
          <w:szCs w:val="44"/>
          <w:shd w:val="clear" w:color="auto" w:fill="FFFFFF"/>
        </w:rPr>
      </w:pPr>
      <w:r>
        <w:rPr>
          <w:rFonts w:hint="eastAsia" w:ascii="方正小标宋简体" w:eastAsia="方正小标宋简体" w:hAnsiTheme="majorEastAsia" w:cstheme="majorEastAsia"/>
          <w:bCs/>
          <w:kern w:val="0"/>
          <w:sz w:val="44"/>
          <w:szCs w:val="44"/>
          <w:shd w:val="clear" w:color="auto" w:fill="FFFFFF"/>
        </w:rPr>
        <w:t>安福县财政局关于对</w:t>
      </w:r>
      <w:r>
        <w:rPr>
          <w:rFonts w:hint="eastAsia" w:ascii="方正小标宋简体" w:eastAsia="方正小标宋简体" w:hAnsiTheme="majorEastAsia" w:cstheme="majorEastAsia"/>
          <w:bCs/>
          <w:kern w:val="0"/>
          <w:sz w:val="44"/>
          <w:szCs w:val="44"/>
          <w:shd w:val="clear" w:color="auto" w:fill="FFFFFF"/>
          <w:lang w:eastAsia="zh-CN"/>
        </w:rPr>
        <w:t>安福县</w:t>
      </w:r>
      <w:r>
        <w:rPr>
          <w:rFonts w:hint="eastAsia" w:ascii="方正小标宋简体" w:eastAsia="方正小标宋简体" w:hAnsiTheme="majorEastAsia" w:cstheme="majorEastAsia"/>
          <w:bCs/>
          <w:kern w:val="0"/>
          <w:sz w:val="44"/>
          <w:szCs w:val="44"/>
          <w:shd w:val="clear" w:color="auto" w:fill="FFFFFF"/>
          <w:lang w:val="en-US" w:eastAsia="zh-CN"/>
        </w:rPr>
        <w:t>农业技术推广中心</w:t>
      </w:r>
      <w:r>
        <w:rPr>
          <w:rFonts w:hint="eastAsia" w:ascii="方正小标宋简体" w:eastAsia="方正小标宋简体" w:hAnsiTheme="majorEastAsia" w:cstheme="majorEastAsia"/>
          <w:bCs/>
          <w:kern w:val="0"/>
          <w:sz w:val="44"/>
          <w:szCs w:val="44"/>
          <w:shd w:val="clear" w:color="auto" w:fill="FFFFFF"/>
        </w:rPr>
        <w:t>的行政处罚</w:t>
      </w:r>
      <w:r>
        <w:rPr>
          <w:rFonts w:hint="eastAsia" w:ascii="方正小标宋简体" w:eastAsia="方正小标宋简体" w:hAnsiTheme="majorEastAsia" w:cstheme="majorEastAsia"/>
          <w:bCs/>
          <w:kern w:val="0"/>
          <w:sz w:val="44"/>
          <w:szCs w:val="44"/>
          <w:shd w:val="clear" w:color="auto" w:fill="FFFFFF"/>
          <w:lang w:val="en-US" w:eastAsia="zh-CN"/>
        </w:rPr>
        <w:t>决定</w:t>
      </w:r>
      <w:r>
        <w:rPr>
          <w:rFonts w:hint="eastAsia" w:ascii="方正小标宋简体" w:eastAsia="方正小标宋简体" w:hAnsiTheme="majorEastAsia" w:cstheme="majorEastAsia"/>
          <w:bCs/>
          <w:kern w:val="0"/>
          <w:sz w:val="44"/>
          <w:szCs w:val="44"/>
          <w:shd w:val="clear" w:color="auto" w:fill="FFFFFF"/>
        </w:rPr>
        <w:t>书</w:t>
      </w:r>
    </w:p>
    <w:p>
      <w:pPr>
        <w:widowControl/>
        <w:shd w:val="clear" w:color="auto" w:fill="FFFFFF"/>
        <w:spacing w:line="580" w:lineRule="exact"/>
        <w:ind w:left="840" w:leftChars="400" w:firstLine="1100" w:firstLineChars="250"/>
        <w:rPr>
          <w:rFonts w:ascii="方正小标宋简体" w:eastAsia="方正小标宋简体" w:hAnsiTheme="majorEastAsia" w:cstheme="majorEastAsia"/>
          <w:color w:val="333333"/>
          <w:sz w:val="44"/>
          <w:szCs w:val="44"/>
          <w:shd w:val="clear" w:color="auto" w:fill="FFFFFF"/>
        </w:rPr>
      </w:pPr>
    </w:p>
    <w:p>
      <w:pPr>
        <w:pStyle w:val="2"/>
        <w:widowControl/>
        <w:shd w:val="clear" w:color="auto" w:fill="FFFFFF"/>
        <w:spacing w:beforeAutospacing="0" w:afterAutospacing="0" w:line="580" w:lineRule="exact"/>
        <w:jc w:val="both"/>
        <w:rPr>
          <w:rFonts w:hint="default" w:ascii="仿宋_GB2312" w:hAnsi="仿宋" w:eastAsia="仿宋_GB2312" w:cs="仿宋"/>
          <w:bCs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" w:eastAsia="仿宋_GB2312" w:cs="仿宋"/>
          <w:bCs/>
          <w:color w:val="333333"/>
          <w:sz w:val="32"/>
          <w:szCs w:val="32"/>
          <w:shd w:val="clear" w:color="auto" w:fill="FFFFFF"/>
        </w:rPr>
        <w:t>当 事 人</w:t>
      </w:r>
      <w:r>
        <w:rPr>
          <w:rFonts w:hint="eastAsia" w:ascii="仿宋_GB2312" w:hAnsi="仿宋" w:eastAsia="仿宋_GB2312" w:cs="仿宋"/>
          <w:bCs/>
          <w:color w:val="333333"/>
          <w:sz w:val="32"/>
          <w:szCs w:val="32"/>
          <w:shd w:val="clear" w:color="auto" w:fill="FFFFFF"/>
          <w:lang w:eastAsia="zh-CN"/>
        </w:rPr>
        <w:t>：</w:t>
      </w:r>
      <w:r>
        <w:rPr>
          <w:rFonts w:hint="eastAsia" w:ascii="仿宋_GB2312" w:hAnsi="仿宋" w:eastAsia="仿宋_GB2312" w:cs="仿宋"/>
          <w:bCs/>
          <w:color w:val="333333"/>
          <w:sz w:val="32"/>
          <w:szCs w:val="32"/>
          <w:shd w:val="clear" w:color="auto" w:fill="FFFFFF"/>
          <w:lang w:val="en-US" w:eastAsia="zh-CN"/>
        </w:rPr>
        <w:t>安福县农业技术推广中心</w:t>
      </w:r>
    </w:p>
    <w:p>
      <w:pPr>
        <w:pStyle w:val="2"/>
        <w:widowControl/>
        <w:shd w:val="clear" w:color="auto" w:fill="FFFFFF"/>
        <w:spacing w:beforeAutospacing="0" w:afterAutospacing="0" w:line="580" w:lineRule="exact"/>
        <w:jc w:val="both"/>
        <w:rPr>
          <w:rFonts w:hint="default" w:ascii="仿宋_GB2312" w:hAnsi="仿宋" w:eastAsia="仿宋_GB2312" w:cs="仿宋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联系地址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  <w:lang w:eastAsia="zh-CN"/>
        </w:rPr>
        <w:t>：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安福县宝成南路A区24号</w:t>
      </w:r>
    </w:p>
    <w:p>
      <w:pPr>
        <w:pStyle w:val="2"/>
        <w:widowControl/>
        <w:numPr>
          <w:ilvl w:val="0"/>
          <w:numId w:val="1"/>
        </w:numPr>
        <w:shd w:val="clear" w:color="auto" w:fill="FFFFFF"/>
        <w:spacing w:beforeAutospacing="0" w:afterAutospacing="0" w:line="580" w:lineRule="exact"/>
        <w:ind w:firstLine="640" w:firstLineChars="200"/>
        <w:jc w:val="both"/>
        <w:rPr>
          <w:rFonts w:ascii="黑体" w:hAnsi="黑体" w:eastAsia="黑体" w:cs="黑体"/>
          <w:color w:val="333333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333333"/>
          <w:sz w:val="32"/>
          <w:szCs w:val="32"/>
          <w:shd w:val="clear" w:color="auto" w:fill="FFFFFF"/>
        </w:rPr>
        <w:t>违法事实</w:t>
      </w:r>
      <w:r>
        <w:rPr>
          <w:rFonts w:hint="eastAsia" w:ascii="黑体" w:hAnsi="黑体" w:eastAsia="黑体" w:cs="黑体"/>
          <w:color w:val="333333"/>
          <w:sz w:val="32"/>
          <w:szCs w:val="32"/>
          <w:shd w:val="clear" w:color="auto" w:fill="FFFFFF"/>
          <w:lang w:eastAsia="zh-CN"/>
        </w:rPr>
        <w:t>和依据</w:t>
      </w:r>
    </w:p>
    <w:p>
      <w:pPr>
        <w:pStyle w:val="2"/>
        <w:widowControl/>
        <w:shd w:val="clear" w:color="auto" w:fill="FFFFFF"/>
        <w:spacing w:beforeAutospacing="0" w:afterAutospacing="0" w:line="580" w:lineRule="exact"/>
        <w:ind w:firstLine="640" w:firstLineChars="200"/>
        <w:jc w:val="both"/>
        <w:rPr>
          <w:rFonts w:hint="eastAsia" w:ascii="仿宋_GB2312" w:hAnsi="仿宋" w:eastAsia="仿宋_GB2312" w:cs="仿宋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根据</w:t>
      </w:r>
      <w:r>
        <w:rPr>
          <w:rFonts w:hint="eastAsia" w:ascii="仿宋_GB2312" w:hAnsi="楷体_GB2312" w:eastAsia="仿宋_GB2312" w:cs="楷体_GB2312"/>
          <w:sz w:val="32"/>
          <w:szCs w:val="32"/>
          <w:lang w:val="en-US" w:eastAsia="zh-CN"/>
        </w:rPr>
        <w:t>代理机构考核和</w:t>
      </w:r>
      <w:r>
        <w:rPr>
          <w:rFonts w:hint="eastAsia" w:ascii="仿宋_GB2312" w:hAnsi="楷体_GB2312" w:eastAsia="仿宋_GB2312" w:cs="楷体_GB2312"/>
          <w:sz w:val="32"/>
          <w:szCs w:val="32"/>
        </w:rPr>
        <w:t>招标投标领域专项整治</w:t>
      </w:r>
      <w:r>
        <w:rPr>
          <w:rFonts w:hint="eastAsia" w:ascii="仿宋_GB2312" w:hAnsi="楷体_GB2312" w:eastAsia="仿宋_GB2312" w:cs="楷体_GB2312"/>
          <w:sz w:val="32"/>
          <w:szCs w:val="32"/>
          <w:lang w:val="en-US" w:eastAsia="zh-CN"/>
        </w:rPr>
        <w:t>方案</w:t>
      </w:r>
      <w:r>
        <w:rPr>
          <w:rFonts w:hint="eastAsia" w:ascii="仿宋_GB2312" w:hAnsi="楷体_GB2312" w:eastAsia="仿宋_GB2312" w:cs="楷体_GB2312"/>
          <w:sz w:val="32"/>
          <w:szCs w:val="32"/>
        </w:rPr>
        <w:t>，检查组对</w:t>
      </w:r>
      <w:r>
        <w:rPr>
          <w:rFonts w:hint="eastAsia" w:ascii="仿宋_GB2312" w:hAnsi="仿宋" w:eastAsia="仿宋_GB2312" w:cs="仿宋"/>
          <w:bCs/>
          <w:color w:val="333333"/>
          <w:sz w:val="32"/>
          <w:szCs w:val="32"/>
          <w:shd w:val="clear" w:color="auto" w:fill="FFFFFF"/>
        </w:rPr>
        <w:t>你</w:t>
      </w:r>
      <w:r>
        <w:rPr>
          <w:rFonts w:hint="eastAsia" w:ascii="仿宋_GB2312" w:hAnsi="仿宋" w:eastAsia="仿宋_GB2312" w:cs="仿宋"/>
          <w:bCs/>
          <w:color w:val="333333"/>
          <w:sz w:val="32"/>
          <w:szCs w:val="32"/>
          <w:shd w:val="clear" w:color="auto" w:fill="FFFFFF"/>
          <w:lang w:eastAsia="zh-CN"/>
        </w:rPr>
        <w:t>单位</w:t>
      </w:r>
      <w:r>
        <w:rPr>
          <w:rFonts w:hint="eastAsia" w:ascii="仿宋_GB2312" w:hAnsi="仿宋" w:eastAsia="仿宋_GB2312" w:cs="仿宋"/>
          <w:bCs/>
          <w:color w:val="333333"/>
          <w:sz w:val="32"/>
          <w:szCs w:val="32"/>
          <w:shd w:val="clear" w:color="auto" w:fill="FFFFFF"/>
        </w:rPr>
        <w:t>的</w:t>
      </w:r>
      <w:r>
        <w:rPr>
          <w:rFonts w:hint="eastAsia" w:ascii="仿宋_GB2312" w:hAnsi="仿宋" w:eastAsia="仿宋_GB2312" w:cs="仿宋"/>
          <w:bCs/>
          <w:color w:val="333333"/>
          <w:sz w:val="32"/>
          <w:szCs w:val="32"/>
          <w:shd w:val="clear" w:color="auto" w:fill="FFFFFF"/>
          <w:lang w:val="en-US" w:eastAsia="zh-CN"/>
        </w:rPr>
        <w:t>安福县2021年稻油轮作复合肥采购项目（项目编号：XYHX2021-JA-G002）</w:t>
      </w: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</w:rPr>
        <w:t>进行了检查，</w:t>
      </w: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eastAsia="zh-CN"/>
        </w:rPr>
        <w:t>发现</w:t>
      </w: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val="en-US" w:eastAsia="zh-CN"/>
        </w:rPr>
        <w:t>存在以下</w:t>
      </w:r>
      <w:r>
        <w:rPr>
          <w:rFonts w:hint="eastAsia" w:ascii="仿宋_GB2312" w:hAnsi="仿宋" w:eastAsia="仿宋_GB2312" w:cs="仿宋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问题：</w:t>
      </w:r>
    </w:p>
    <w:p>
      <w:pPr>
        <w:pStyle w:val="2"/>
        <w:widowControl/>
        <w:numPr>
          <w:ilvl w:val="0"/>
          <w:numId w:val="2"/>
        </w:numPr>
        <w:shd w:val="clear" w:color="auto" w:fill="FFFFFF"/>
        <w:spacing w:beforeAutospacing="0" w:afterAutospacing="0" w:line="580" w:lineRule="exact"/>
        <w:ind w:firstLine="640" w:firstLineChars="200"/>
        <w:jc w:val="both"/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" w:eastAsia="仿宋_GB2312" w:cs="仿宋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评分标准商务分售后服务评分项“合理，较为合理，一般”没有细化量化，违反了《中华人民共和国政府采购法实施条例》第三十四条、《政府采购货物和服务招标投标管理办法》（财政部令87号）第五十五条。</w:t>
      </w:r>
    </w:p>
    <w:p>
      <w:pPr>
        <w:pStyle w:val="2"/>
        <w:widowControl/>
        <w:numPr>
          <w:ilvl w:val="0"/>
          <w:numId w:val="2"/>
        </w:numPr>
        <w:shd w:val="clear" w:color="auto" w:fill="FFFFFF"/>
        <w:spacing w:beforeAutospacing="0" w:afterAutospacing="0" w:line="580" w:lineRule="exact"/>
        <w:ind w:firstLine="640" w:firstLineChars="200"/>
        <w:jc w:val="both"/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" w:eastAsia="仿宋_GB2312" w:cs="仿宋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合同未在法定期限在省网公示，违反了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《中华人民共和国政府采购法实施条例》第五十条、《关于做好政府采购信息公开工作的通知》（财库</w:t>
      </w:r>
      <w:r>
        <w:rPr>
          <w:rFonts w:hint="eastAsia" w:ascii="微软雅黑" w:hAnsi="微软雅黑" w:eastAsia="微软雅黑" w:cs="微软雅黑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〔</w:t>
      </w:r>
      <w:r>
        <w:rPr>
          <w:rFonts w:hint="eastAsia" w:ascii="仿宋_GB2312" w:hAnsi="仿宋" w:eastAsia="仿宋_GB2312" w:cs="仿宋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2015</w:t>
      </w:r>
      <w:r>
        <w:rPr>
          <w:rFonts w:hint="eastAsia" w:ascii="微软雅黑" w:hAnsi="微软雅黑" w:eastAsia="微软雅黑" w:cs="微软雅黑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〕</w:t>
      </w:r>
      <w:r>
        <w:rPr>
          <w:rFonts w:hint="eastAsia" w:ascii="仿宋_GB2312" w:hAnsi="仿宋" w:eastAsia="仿宋_GB2312" w:cs="仿宋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135号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）。</w:t>
      </w:r>
    </w:p>
    <w:p>
      <w:pPr>
        <w:pStyle w:val="2"/>
        <w:widowControl/>
        <w:numPr>
          <w:ilvl w:val="0"/>
          <w:numId w:val="2"/>
        </w:numPr>
        <w:shd w:val="clear" w:color="auto" w:fill="FFFFFF"/>
        <w:spacing w:beforeAutospacing="0" w:afterAutospacing="0" w:line="580" w:lineRule="exact"/>
        <w:ind w:firstLine="640" w:firstLineChars="200"/>
        <w:jc w:val="both"/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eastAsia="zh-CN"/>
        </w:rPr>
        <w:t>投标人须知投标保证金未明确以本票、汇票或者金融机构、担保机构出具的保函等非现金形式提交，</w:t>
      </w: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val="en-US" w:eastAsia="zh-CN"/>
        </w:rPr>
        <w:t>违反了</w:t>
      </w:r>
      <w:r>
        <w:rPr>
          <w:rFonts w:hint="eastAsia" w:ascii="仿宋_GB2312" w:hAnsi="仿宋" w:eastAsia="仿宋_GB2312" w:cs="仿宋"/>
          <w:bCs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中华人民共和国政府采购法实施条例》第三十三条。</w:t>
      </w:r>
    </w:p>
    <w:p>
      <w:pPr>
        <w:spacing w:line="580" w:lineRule="exact"/>
        <w:ind w:firstLine="640" w:firstLineChars="200"/>
        <w:rPr>
          <w:rFonts w:hint="eastAsia" w:ascii="黑体" w:hAnsi="黑体" w:eastAsia="黑体" w:cs="仿宋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仿宋"/>
          <w:color w:val="000000"/>
          <w:sz w:val="32"/>
          <w:szCs w:val="32"/>
        </w:rPr>
        <w:t>二、</w:t>
      </w:r>
      <w:r>
        <w:rPr>
          <w:rFonts w:hint="eastAsia" w:ascii="黑体" w:hAnsi="黑体" w:eastAsia="黑体" w:cs="仿宋"/>
          <w:color w:val="000000"/>
          <w:sz w:val="32"/>
          <w:szCs w:val="32"/>
          <w:lang w:eastAsia="zh-CN"/>
        </w:rPr>
        <w:t>作出的</w:t>
      </w:r>
      <w:r>
        <w:rPr>
          <w:rFonts w:hint="eastAsia" w:ascii="黑体" w:hAnsi="黑体" w:eastAsia="黑体" w:cs="仿宋"/>
          <w:color w:val="000000"/>
          <w:sz w:val="32"/>
          <w:szCs w:val="32"/>
          <w:lang w:val="en-US" w:eastAsia="zh-CN"/>
        </w:rPr>
        <w:t>行政处罚决定</w:t>
      </w:r>
    </w:p>
    <w:p>
      <w:pPr>
        <w:spacing w:line="580" w:lineRule="exact"/>
        <w:ind w:firstLine="640" w:firstLineChars="200"/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根据《中华人民共和国政府采购法》第71条、第78条，《中华人民共和国政府采购法实施条例》第33条、第66条、第67条</w:t>
      </w: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val="en-US" w:eastAsia="zh-CN"/>
        </w:rPr>
        <w:t>的规定，本机关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对你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单位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作出以下</w:t>
      </w:r>
      <w:r>
        <w:rPr>
          <w:rFonts w:hint="eastAsia" w:ascii="仿宋_GB2312" w:hAnsi="仿宋" w:eastAsia="仿宋_GB2312" w:cs="仿宋"/>
          <w:color w:val="000000"/>
          <w:sz w:val="32"/>
          <w:szCs w:val="32"/>
          <w:lang w:val="en-US" w:eastAsia="zh-CN"/>
        </w:rPr>
        <w:t>处罚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决定：</w:t>
      </w:r>
      <w:r>
        <w:rPr>
          <w:rFonts w:hint="eastAsia" w:ascii="仿宋_GB2312" w:hAnsi="仿宋" w:eastAsia="仿宋_GB2312" w:cs="仿宋"/>
          <w:bCs/>
          <w:color w:val="000000"/>
          <w:sz w:val="32"/>
          <w:szCs w:val="32"/>
          <w:shd w:val="clear" w:color="auto" w:fill="FFFFFF"/>
          <w:lang w:val="en-US" w:eastAsia="zh-CN"/>
        </w:rPr>
        <w:t>责令限期改正、警告。</w:t>
      </w:r>
    </w:p>
    <w:p>
      <w:pPr>
        <w:numPr>
          <w:ilvl w:val="0"/>
          <w:numId w:val="0"/>
        </w:numPr>
        <w:spacing w:line="580" w:lineRule="exact"/>
        <w:ind w:leftChars="200" w:firstLine="320" w:firstLineChars="10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</w:rPr>
        <w:t>权利告知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本决定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书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送达之日起生效。如你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单位</w:t>
      </w:r>
      <w:r>
        <w:rPr>
          <w:rFonts w:hint="eastAsia" w:ascii="仿宋" w:hAnsi="仿宋" w:eastAsia="仿宋"/>
          <w:color w:val="000000"/>
          <w:sz w:val="32"/>
          <w:szCs w:val="32"/>
          <w:lang w:eastAsia="zh-CN"/>
        </w:rPr>
        <w:t>不服本处罚决定，可在收到本决定书之日起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六十日内向安福县人民政府申请行政复议，或者在收到决定书之日起六个月内向人民法院提起行政诉讼。复议或者诉讼期间本决定照常执行。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leftChars="0" w:firstLine="640" w:firstLineChars="200"/>
        <w:jc w:val="both"/>
        <w:textAlignment w:val="auto"/>
        <w:rPr>
          <w:rFonts w:hint="eastAsia" w:ascii="黑体" w:hAnsi="黑体" w:eastAsia="黑体" w:cs="Calibri"/>
          <w:color w:val="333333"/>
          <w:sz w:val="32"/>
          <w:szCs w:val="32"/>
          <w:lang w:val="en-US" w:eastAsia="zh-CN"/>
        </w:rPr>
      </w:pPr>
    </w:p>
    <w:p>
      <w:pPr>
        <w:spacing w:line="58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580" w:lineRule="exact"/>
        <w:ind w:firstLine="5600" w:firstLineChars="1750"/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 xml:space="preserve">安福县财政局 </w:t>
      </w:r>
    </w:p>
    <w:p>
      <w:pPr>
        <w:spacing w:line="580" w:lineRule="exact"/>
        <w:ind w:firstLine="5280" w:firstLineChars="165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202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年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月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  <w:lang w:val="en-US" w:eastAsia="zh-CN"/>
        </w:rPr>
        <w:t>20</w:t>
      </w:r>
      <w:bookmarkStart w:id="0" w:name="_GoBack"/>
      <w:bookmarkEnd w:id="0"/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 xml:space="preserve">日   </w:t>
      </w:r>
    </w:p>
    <w:p>
      <w:pPr>
        <w:wordWrap w:val="0"/>
        <w:spacing w:line="580" w:lineRule="exact"/>
        <w:jc w:val="right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 xml:space="preserve">           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color="auto" w:fill="FFFFFF"/>
        </w:rPr>
        <w:t xml:space="preserve"> </w:t>
      </w:r>
    </w:p>
    <w:p/>
    <w:p/>
    <w:sectPr>
      <w:pgSz w:w="11850" w:h="16783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7CF4EAD"/>
    <w:multiLevelType w:val="singleLevel"/>
    <w:tmpl w:val="87CF4EAD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8DC84E7A"/>
    <w:multiLevelType w:val="singleLevel"/>
    <w:tmpl w:val="8DC84E7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k2NzRlNDk0YWZkYTY3Y2RhMDc1NGYyNjY0OWJhNzYifQ=="/>
  </w:docVars>
  <w:rsids>
    <w:rsidRoot w:val="0650787B"/>
    <w:rsid w:val="0650787B"/>
    <w:rsid w:val="0CED14A2"/>
    <w:rsid w:val="17F00F48"/>
    <w:rsid w:val="1A0B48FD"/>
    <w:rsid w:val="22356D36"/>
    <w:rsid w:val="33F81A60"/>
    <w:rsid w:val="60BF48B5"/>
    <w:rsid w:val="690802CD"/>
    <w:rsid w:val="6B5477F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576</Words>
  <Characters>610</Characters>
  <Lines>0</Lines>
  <Paragraphs>0</Paragraphs>
  <TotalTime>0</TotalTime>
  <ScaleCrop>false</ScaleCrop>
  <LinksUpToDate>false</LinksUpToDate>
  <CharactersWithSpaces>629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2023-02-02T01:50:00Z</dcterms:created>
  <dc:creator>自由行走的花</dc:creator>
  <cp:lastModifiedBy>自由行走的花</cp:lastModifiedBy>
  <dcterms:modified xsi:type="dcterms:W3CDTF">2023-02-20T00:44:58Z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899A41F9904F4B64B310B3EF4B4612AE</vt:lpwstr>
  </property>
</Properties>
</file>