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0" w:after="0"/>
        <w:jc w:val="center"/>
        <w:rPr>
          <w:rFonts w:hint="eastAsia" w:ascii="方正小标宋简体" w:hAnsi="方正小标宋简体" w:eastAsia="方正小标宋简体" w:cs="方正小标宋简体"/>
          <w:b w:val="0"/>
          <w:bCs w:val="0"/>
          <w:color w:val="333333"/>
          <w:sz w:val="44"/>
          <w:szCs w:val="44"/>
        </w:rPr>
      </w:pPr>
    </w:p>
    <w:p>
      <w:pPr>
        <w:shd w:val="clear" w:color="auto" w:fill="FFFFFF"/>
        <w:spacing w:before="0" w:after="0"/>
        <w:jc w:val="center"/>
        <w:rPr>
          <w:rFonts w:hint="eastAsia" w:ascii="方正小标宋简体" w:hAnsi="方正小标宋简体" w:eastAsia="方正小标宋简体" w:cs="方正小标宋简体"/>
          <w:b w:val="0"/>
          <w:bCs w:val="0"/>
          <w:color w:val="333333"/>
          <w:sz w:val="44"/>
          <w:szCs w:val="44"/>
        </w:rPr>
      </w:pPr>
    </w:p>
    <w:p>
      <w:pPr>
        <w:shd w:val="clear" w:color="auto" w:fill="FFFFFF"/>
        <w:spacing w:before="0" w:after="0"/>
        <w:jc w:val="center"/>
        <w:rPr>
          <w:rFonts w:hint="eastAsia" w:ascii="方正小标宋简体" w:hAnsi="方正小标宋简体" w:eastAsia="方正小标宋简体" w:cs="方正小标宋简体"/>
          <w:b w:val="0"/>
          <w:bCs w:val="0"/>
          <w:color w:val="333333"/>
          <w:sz w:val="44"/>
          <w:szCs w:val="44"/>
        </w:rPr>
      </w:pPr>
    </w:p>
    <w:p>
      <w:pPr>
        <w:shd w:val="clear" w:color="auto" w:fill="FFFFFF"/>
        <w:spacing w:before="0" w:after="0"/>
        <w:jc w:val="both"/>
        <w:rPr>
          <w:rFonts w:hint="eastAsia" w:ascii="方正小标宋简体" w:hAnsi="方正小标宋简体" w:eastAsia="方正小标宋简体" w:cs="方正小标宋简体"/>
          <w:b w:val="0"/>
          <w:bCs w:val="0"/>
          <w:color w:val="333333"/>
          <w:sz w:val="44"/>
          <w:szCs w:val="44"/>
        </w:rPr>
      </w:pPr>
    </w:p>
    <w:p>
      <w:pPr>
        <w:shd w:val="clear" w:color="auto" w:fill="FFFFFF"/>
        <w:spacing w:before="0" w:after="0"/>
        <w:jc w:val="center"/>
        <w:rPr>
          <w:rFonts w:hint="eastAsia" w:ascii="方正小标宋简体" w:hAnsi="方正小标宋简体" w:eastAsia="方正小标宋简体" w:cs="方正小标宋简体"/>
          <w:b w:val="0"/>
          <w:bCs w:val="0"/>
          <w:color w:val="333333"/>
          <w:sz w:val="44"/>
          <w:szCs w:val="44"/>
        </w:rPr>
      </w:pPr>
    </w:p>
    <w:p>
      <w:pPr>
        <w:shd w:val="clear" w:color="auto" w:fill="FFFFFF"/>
        <w:spacing w:before="0" w:after="0"/>
        <w:jc w:val="center"/>
        <w:rPr>
          <w:rFonts w:hint="eastAsia" w:ascii="仿宋_GB2312" w:hAnsi="仿宋_GB2312" w:eastAsia="仿宋_GB2312" w:cs="仿宋_GB2312"/>
          <w:bCs/>
          <w:color w:val="333333"/>
          <w:sz w:val="32"/>
          <w:szCs w:val="32"/>
        </w:rPr>
      </w:pPr>
    </w:p>
    <w:p>
      <w:pPr>
        <w:shd w:val="clear" w:color="auto" w:fill="FFFFFF"/>
        <w:spacing w:before="0" w:after="0"/>
        <w:jc w:val="center"/>
        <w:rPr>
          <w:rFonts w:hint="eastAsia" w:ascii="仿宋_GB2312" w:hAnsi="仿宋_GB2312" w:eastAsia="仿宋_GB2312" w:cs="仿宋_GB2312"/>
          <w:bCs/>
          <w:color w:val="333333"/>
          <w:sz w:val="32"/>
          <w:szCs w:val="32"/>
        </w:rPr>
      </w:pPr>
      <w:r>
        <w:rPr>
          <w:rFonts w:hint="eastAsia" w:ascii="仿宋_GB2312" w:hAnsi="仿宋_GB2312" w:eastAsia="仿宋_GB2312" w:cs="仿宋_GB2312"/>
          <w:bCs/>
          <w:color w:val="333333"/>
          <w:sz w:val="32"/>
          <w:szCs w:val="32"/>
        </w:rPr>
        <w:t>宜财购决[2021]1号</w:t>
      </w:r>
    </w:p>
    <w:p>
      <w:pPr>
        <w:keepNext w:val="0"/>
        <w:keepLines w:val="0"/>
        <w:pageBreakBefore w:val="0"/>
        <w:shd w:val="clear" w:color="auto" w:fill="FFFFFF"/>
        <w:kinsoku/>
        <w:wordWrap/>
        <w:overflowPunct/>
        <w:topLinePunct w:val="0"/>
        <w:autoSpaceDE/>
        <w:autoSpaceDN/>
        <w:bidi w:val="0"/>
        <w:adjustRightInd/>
        <w:snapToGrid/>
        <w:spacing w:before="0" w:after="0" w:line="240" w:lineRule="auto"/>
        <w:jc w:val="both"/>
        <w:textAlignment w:val="auto"/>
        <w:rPr>
          <w:rFonts w:hint="eastAsia" w:ascii="方正小标宋简体" w:hAnsi="方正小标宋简体" w:eastAsia="方正小标宋简体" w:cs="方正小标宋简体"/>
          <w:b w:val="0"/>
          <w:bCs w:val="0"/>
          <w:i w:val="0"/>
          <w:iCs w:val="0"/>
          <w:color w:val="333333"/>
          <w:sz w:val="44"/>
          <w:szCs w:val="44"/>
        </w:rPr>
      </w:pPr>
    </w:p>
    <w:p>
      <w:pPr>
        <w:keepNext w:val="0"/>
        <w:keepLines w:val="0"/>
        <w:pageBreakBefore w:val="0"/>
        <w:shd w:val="clear" w:color="auto" w:fill="FFFFFF"/>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i w:val="0"/>
          <w:iCs w:val="0"/>
          <w:color w:val="333333"/>
          <w:sz w:val="44"/>
          <w:szCs w:val="44"/>
        </w:rPr>
      </w:pPr>
      <w:r>
        <w:rPr>
          <w:rFonts w:hint="eastAsia" w:ascii="方正小标宋简体" w:hAnsi="方正小标宋简体" w:eastAsia="方正小标宋简体" w:cs="方正小标宋简体"/>
          <w:b w:val="0"/>
          <w:bCs w:val="0"/>
          <w:i w:val="0"/>
          <w:iCs w:val="0"/>
          <w:color w:val="333333"/>
          <w:sz w:val="44"/>
          <w:szCs w:val="44"/>
        </w:rPr>
        <w:t>投诉处理决定书</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i w:val="0"/>
          <w:iCs w:val="0"/>
          <w:color w:val="333333"/>
          <w:sz w:val="32"/>
          <w:szCs w:val="32"/>
        </w:rPr>
      </w:pPr>
    </w:p>
    <w:p>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textAlignment w:val="auto"/>
        <w:rPr>
          <w:color w:val="333333"/>
          <w:sz w:val="32"/>
          <w:szCs w:val="32"/>
        </w:rPr>
      </w:pPr>
      <w:r>
        <w:rPr>
          <w:rFonts w:hint="eastAsia" w:ascii="仿宋_GB2312" w:hAnsi="仿宋_GB2312" w:eastAsia="仿宋_GB2312" w:cs="仿宋_GB2312"/>
          <w:b/>
          <w:bCs/>
          <w:color w:val="333333"/>
          <w:sz w:val="32"/>
          <w:szCs w:val="32"/>
        </w:rPr>
        <w:t>项目编号：</w:t>
      </w:r>
      <w:r>
        <w:rPr>
          <w:rFonts w:hint="eastAsia" w:ascii="仿宋_GB2312" w:hAnsi="微软雅黑" w:eastAsia="仿宋_GB2312"/>
          <w:color w:val="333333"/>
          <w:sz w:val="32"/>
          <w:szCs w:val="32"/>
        </w:rPr>
        <w:t>J</w:t>
      </w:r>
      <w:r>
        <w:rPr>
          <w:rFonts w:hint="eastAsia"/>
          <w:color w:val="333333"/>
          <w:sz w:val="32"/>
          <w:szCs w:val="32"/>
        </w:rPr>
        <w:t>XRC-YH2021-07</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b/>
          <w:bCs/>
          <w:color w:val="333333"/>
          <w:sz w:val="32"/>
          <w:szCs w:val="32"/>
        </w:rPr>
        <w:t>二、项目名称</w:t>
      </w:r>
      <w:r>
        <w:rPr>
          <w:rFonts w:hint="eastAsia" w:ascii="仿宋_GB2312" w:hAnsi="仿宋_GB2312" w:eastAsia="仿宋_GB2312" w:cs="仿宋_GB2312"/>
          <w:color w:val="333333"/>
          <w:sz w:val="32"/>
          <w:szCs w:val="32"/>
        </w:rPr>
        <w:t>：宜黄县杂交水稻种子综合加工车间设备采购</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b/>
          <w:bCs/>
          <w:color w:val="333333"/>
          <w:sz w:val="32"/>
          <w:szCs w:val="32"/>
        </w:rPr>
        <w:t>三、相关当事人</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ascii="微软雅黑" w:hAnsi="微软雅黑" w:eastAsia="微软雅黑"/>
          <w:color w:val="333333"/>
          <w:sz w:val="21"/>
          <w:szCs w:val="21"/>
        </w:rPr>
      </w:pPr>
      <w:r>
        <w:rPr>
          <w:rFonts w:hint="eastAsia" w:ascii="仿宋_GB2312" w:hAnsi="微软雅黑" w:eastAsia="仿宋_GB2312"/>
          <w:color w:val="333333"/>
          <w:sz w:val="32"/>
          <w:szCs w:val="32"/>
        </w:rPr>
        <w:t>投诉人：江西恒景商贸有限公司</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ascii="微软雅黑" w:hAnsi="微软雅黑" w:eastAsia="微软雅黑"/>
          <w:color w:val="333333"/>
          <w:sz w:val="21"/>
          <w:szCs w:val="21"/>
        </w:rPr>
      </w:pPr>
      <w:r>
        <w:rPr>
          <w:rFonts w:hint="eastAsia" w:ascii="仿宋_GB2312" w:hAnsi="微软雅黑" w:eastAsia="仿宋_GB2312"/>
          <w:color w:val="333333"/>
          <w:sz w:val="32"/>
          <w:szCs w:val="32"/>
        </w:rPr>
        <w:t>地  址：江西省抚州市南城县建昌镇盱江大道1号12栋2-702</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7"/>
        <w:textAlignment w:val="auto"/>
        <w:rPr>
          <w:rFonts w:ascii="微软雅黑" w:hAnsi="微软雅黑" w:eastAsia="微软雅黑"/>
          <w:color w:val="333333"/>
          <w:sz w:val="21"/>
          <w:szCs w:val="21"/>
        </w:rPr>
      </w:pPr>
      <w:r>
        <w:rPr>
          <w:rFonts w:hint="eastAsia" w:ascii="仿宋_GB2312" w:hAnsi="微软雅黑" w:eastAsia="仿宋_GB2312"/>
          <w:color w:val="000000"/>
          <w:sz w:val="32"/>
          <w:szCs w:val="32"/>
        </w:rPr>
        <w:t>被</w:t>
      </w:r>
      <w:r>
        <w:rPr>
          <w:rFonts w:hint="eastAsia" w:ascii="仿宋_GB2312" w:hAnsi="微软雅黑" w:eastAsia="仿宋_GB2312"/>
          <w:color w:val="333333"/>
          <w:sz w:val="32"/>
          <w:szCs w:val="32"/>
        </w:rPr>
        <w:t>投诉人1：江西睿创工程监理有限公司</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ascii="仿宋_GB2312" w:hAnsi="微软雅黑" w:eastAsia="仿宋_GB2312"/>
          <w:color w:val="333333"/>
          <w:sz w:val="32"/>
          <w:szCs w:val="32"/>
        </w:rPr>
      </w:pPr>
      <w:r>
        <w:rPr>
          <w:rFonts w:hint="eastAsia" w:ascii="仿宋_GB2312" w:hAnsi="微软雅黑" w:eastAsia="仿宋_GB2312"/>
          <w:color w:val="333333"/>
          <w:sz w:val="32"/>
          <w:szCs w:val="32"/>
        </w:rPr>
        <w:t>地  址：江西省抚州市宜黄县水北大道</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7"/>
        <w:textAlignment w:val="auto"/>
        <w:rPr>
          <w:rFonts w:ascii="微软雅黑" w:hAnsi="微软雅黑" w:eastAsia="微软雅黑"/>
          <w:color w:val="333333"/>
          <w:sz w:val="21"/>
          <w:szCs w:val="21"/>
        </w:rPr>
      </w:pPr>
      <w:r>
        <w:rPr>
          <w:rFonts w:hint="eastAsia" w:ascii="仿宋_GB2312" w:hAnsi="微软雅黑" w:eastAsia="仿宋_GB2312"/>
          <w:color w:val="000000"/>
          <w:sz w:val="32"/>
          <w:szCs w:val="32"/>
        </w:rPr>
        <w:t>被</w:t>
      </w:r>
      <w:r>
        <w:rPr>
          <w:rFonts w:hint="eastAsia" w:ascii="仿宋_GB2312" w:hAnsi="微软雅黑" w:eastAsia="仿宋_GB2312"/>
          <w:color w:val="333333"/>
          <w:sz w:val="32"/>
          <w:szCs w:val="32"/>
        </w:rPr>
        <w:t>投诉人2：宜黄县农业农村局</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ascii="仿宋_GB2312" w:hAnsi="微软雅黑" w:eastAsia="仿宋_GB2312"/>
          <w:color w:val="333333"/>
          <w:sz w:val="32"/>
          <w:szCs w:val="32"/>
        </w:rPr>
      </w:pPr>
      <w:r>
        <w:rPr>
          <w:rFonts w:hint="eastAsia" w:ascii="仿宋_GB2312" w:hAnsi="微软雅黑" w:eastAsia="仿宋_GB2312"/>
          <w:color w:val="333333"/>
          <w:sz w:val="32"/>
          <w:szCs w:val="32"/>
        </w:rPr>
        <w:t>地  址：江西省抚州市宜黄县</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ascii="仿宋_GB2312" w:hAnsi="微软雅黑" w:eastAsia="仿宋_GB2312"/>
          <w:color w:val="333333"/>
          <w:sz w:val="32"/>
          <w:szCs w:val="32"/>
        </w:rPr>
      </w:pPr>
      <w:r>
        <w:rPr>
          <w:rFonts w:hint="eastAsia" w:ascii="仿宋_GB2312" w:hAnsi="微软雅黑" w:eastAsia="仿宋_GB2312"/>
          <w:color w:val="333333"/>
          <w:sz w:val="32"/>
          <w:szCs w:val="32"/>
        </w:rPr>
        <w:t>相关供应商：江西双牛农业科技有限公司</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ascii="仿宋_GB2312" w:hAnsi="微软雅黑" w:eastAsia="仿宋_GB2312"/>
          <w:color w:val="333333"/>
          <w:sz w:val="32"/>
          <w:szCs w:val="32"/>
        </w:rPr>
      </w:pPr>
      <w:r>
        <w:rPr>
          <w:rFonts w:hint="eastAsia" w:ascii="仿宋_GB2312" w:hAnsi="微软雅黑" w:eastAsia="仿宋_GB2312"/>
          <w:color w:val="333333"/>
          <w:sz w:val="32"/>
          <w:szCs w:val="32"/>
        </w:rPr>
        <w:t>地  址：江西省上饶市横峰县岑阳镇解放西路417号</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b/>
          <w:bCs/>
          <w:color w:val="333333"/>
          <w:sz w:val="32"/>
          <w:szCs w:val="32"/>
        </w:rPr>
        <w:t>四、基本情况</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微软雅黑" w:hAnsi="微软雅黑" w:eastAsia="微软雅黑"/>
          <w:color w:val="333333"/>
          <w:sz w:val="21"/>
          <w:szCs w:val="21"/>
        </w:rPr>
      </w:pPr>
      <w:r>
        <w:rPr>
          <w:rFonts w:hint="eastAsia" w:ascii="仿宋_GB2312" w:hAnsi="微软雅黑" w:eastAsia="仿宋_GB2312"/>
          <w:color w:val="333333"/>
          <w:sz w:val="32"/>
          <w:szCs w:val="32"/>
        </w:rPr>
        <w:t>江西睿创工程监理有限公司受宜黄县农业农村局的委托，对宜黄县杂交水稻种子综合加工车间设备采购项目（招标编号：JXRC-YH2021-07）进行询价采购。该项目询价公告于2021年3月23日发布，询价活动于2021年3月26日开标，中标公告于2021年3月29日发布。投诉人于2021年4月1日对采购过程向被投诉人提出质疑，被投诉人于2021年4月2日、4月6日对质疑事项进行了回复。投诉人对被投诉人的质疑答复不满意,于2021年4月11日向本局提起投诉。本局经依法对采购活动中的相关材料进行审查,现对本投诉案审查终结。</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ascii="微软雅黑" w:hAnsi="微软雅黑" w:eastAsia="微软雅黑"/>
          <w:color w:val="333333"/>
          <w:sz w:val="21"/>
          <w:szCs w:val="21"/>
        </w:rPr>
      </w:pPr>
      <w:r>
        <w:rPr>
          <w:rFonts w:hint="eastAsia" w:ascii="仿宋_GB2312" w:hAnsi="微软雅黑" w:eastAsia="仿宋_GB2312"/>
          <w:b/>
          <w:bCs/>
          <w:color w:val="333333"/>
          <w:sz w:val="32"/>
          <w:szCs w:val="32"/>
        </w:rPr>
        <w:t>投诉人称：</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333333"/>
          <w:sz w:val="32"/>
          <w:szCs w:val="32"/>
        </w:rPr>
      </w:pPr>
      <w:r>
        <w:rPr>
          <w:rFonts w:hint="eastAsia" w:ascii="仿宋_GB2312" w:hAnsi="微软雅黑" w:eastAsia="仿宋_GB2312"/>
          <w:color w:val="333333"/>
          <w:sz w:val="32"/>
          <w:szCs w:val="32"/>
        </w:rPr>
        <w:t>投诉事项1：采购代理机构与采购人职业技术差、马虎回复。我方于2021年4月1日就本项目违规事宜提出质疑，但是至2021年4月2日，收到一份质疑回复，回复函称我方无质疑资格。同时采购代理机构与采购人将我司的公司名称与信息均写错。</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color w:val="333333"/>
          <w:sz w:val="32"/>
          <w:szCs w:val="32"/>
        </w:rPr>
      </w:pPr>
      <w:r>
        <w:rPr>
          <w:rFonts w:hint="eastAsia" w:ascii="仿宋_GB2312" w:hAnsi="微软雅黑" w:eastAsia="仿宋_GB2312"/>
          <w:color w:val="333333"/>
          <w:sz w:val="32"/>
          <w:szCs w:val="32"/>
        </w:rPr>
        <w:t>投诉事项2：采购代理机构与采购人未直接回复我方的质疑事项，避重就轻的偏坦其它供应商。</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ascii="微软雅黑" w:hAnsi="微软雅黑" w:eastAsia="微软雅黑"/>
          <w:color w:val="333333"/>
          <w:sz w:val="21"/>
          <w:szCs w:val="21"/>
        </w:rPr>
      </w:pPr>
      <w:r>
        <w:rPr>
          <w:rFonts w:hint="eastAsia" w:ascii="仿宋_GB2312" w:hAnsi="微软雅黑" w:eastAsia="仿宋_GB2312"/>
          <w:b/>
          <w:bCs/>
          <w:color w:val="333333"/>
          <w:sz w:val="32"/>
          <w:szCs w:val="32"/>
        </w:rPr>
        <w:t>被投诉人称：</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ascii="仿宋_GB2312" w:hAnsi="微软雅黑" w:eastAsia="仿宋_GB2312"/>
          <w:color w:val="333333"/>
          <w:sz w:val="32"/>
          <w:szCs w:val="32"/>
        </w:rPr>
      </w:pPr>
      <w:r>
        <w:rPr>
          <w:rFonts w:hint="eastAsia" w:ascii="仿宋_GB2312" w:hAnsi="微软雅黑" w:eastAsia="仿宋_GB2312"/>
          <w:color w:val="333333"/>
          <w:sz w:val="32"/>
          <w:szCs w:val="32"/>
        </w:rPr>
        <w:t>      投诉事项1：我公司因工作岗位变动，2021年4月2日误将江西新永辉有限公司的答复函寄给江西恒景商贸有限公司，在江西恒景商贸有限公司反映这个情况后，于2021年4月6日重新将答复函寄给了江西恒景商贸有限公司。</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ascii="仿宋_GB2312" w:hAnsi="微软雅黑" w:eastAsia="仿宋_GB2312"/>
          <w:color w:val="333333"/>
          <w:sz w:val="32"/>
          <w:szCs w:val="32"/>
        </w:rPr>
      </w:pPr>
      <w:r>
        <w:rPr>
          <w:rFonts w:hint="eastAsia" w:ascii="仿宋_GB2312" w:hAnsi="微软雅黑" w:eastAsia="仿宋_GB2312"/>
          <w:color w:val="333333"/>
          <w:sz w:val="32"/>
          <w:szCs w:val="32"/>
        </w:rPr>
        <w:t xml:space="preserve">    投诉事项2：当天询价文件递交截止时间是10点，公司因先到交易中心核对保证金到账情况，在截止时间后15分钟才收取各供应商的询价资料。随后按照询价流程进行对询价响应供应商的资格进行审核，江西恒景商贸有限公司递交的资格审核资料把代理公司的名称写错后，现场进行修改，我公司在听取江西恒景商贸有限公司解释后，现场咨询了评审专家，专家回复现场修改投标资料无效。我公司遂将该公司递交的询价文件无效而退回。</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7"/>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b/>
          <w:bCs/>
          <w:color w:val="333333"/>
          <w:sz w:val="32"/>
          <w:szCs w:val="32"/>
        </w:rPr>
        <w:t>五、处理依据及结果</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ascii="微软雅黑" w:hAnsi="微软雅黑" w:eastAsia="微软雅黑"/>
          <w:color w:val="333333"/>
          <w:sz w:val="21"/>
          <w:szCs w:val="21"/>
        </w:rPr>
      </w:pPr>
      <w:r>
        <w:rPr>
          <w:rFonts w:hint="eastAsia" w:ascii="仿宋_GB2312" w:hAnsi="微软雅黑" w:eastAsia="仿宋_GB2312"/>
          <w:b/>
          <w:bCs/>
          <w:color w:val="333333"/>
          <w:sz w:val="32"/>
          <w:szCs w:val="32"/>
        </w:rPr>
        <w:t>经调查：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Helvetica Neue" w:hAnsi="Helvetica Neue" w:eastAsia="Helvetica Neue" w:cs="Helvetica Neue"/>
          <w:color w:val="3E3E3E"/>
        </w:rPr>
      </w:pPr>
      <w:r>
        <w:rPr>
          <w:rFonts w:hint="eastAsia" w:ascii="仿宋_GB2312" w:hAnsi="微软雅黑" w:eastAsia="仿宋_GB2312"/>
          <w:color w:val="333333"/>
          <w:sz w:val="32"/>
          <w:szCs w:val="32"/>
        </w:rPr>
        <w:t>投诉人所称投诉事项一的问题。经查，被投诉人于2021年4月2日误将另一质疑人江西新永辉有限公司的质疑答复函寄给了投诉人，后于2021年4月6日又重新寄了一份正确的答复函给投诉人，但质疑答复函格式内容不符</w:t>
      </w:r>
      <w:r>
        <w:rPr>
          <w:rFonts w:ascii="仿宋_GB2312" w:hAnsi="微软雅黑" w:eastAsia="仿宋_GB2312"/>
          <w:color w:val="333333"/>
          <w:sz w:val="32"/>
          <w:szCs w:val="32"/>
        </w:rPr>
        <w:t>财政部令第94号《政府采购质疑和投诉办法》　第十五条</w:t>
      </w:r>
      <w:r>
        <w:rPr>
          <w:rFonts w:hint="eastAsia" w:ascii="仿宋_GB2312" w:hAnsi="微软雅黑" w:eastAsia="仿宋_GB2312"/>
          <w:color w:val="333333"/>
          <w:sz w:val="32"/>
          <w:szCs w:val="32"/>
        </w:rPr>
        <w:t>“</w:t>
      </w:r>
      <w:r>
        <w:rPr>
          <w:rFonts w:ascii="仿宋_GB2312" w:hAnsi="微软雅黑" w:eastAsia="仿宋_GB2312"/>
          <w:color w:val="333333"/>
          <w:sz w:val="32"/>
          <w:szCs w:val="32"/>
        </w:rPr>
        <w:t>质疑答复应当包括下列内容：（一）质疑供应商的姓名或者名称；（二）收到质疑函的日期、质疑项目名称及编号；（三）质疑事项、质疑答复的具体内容、事实依据和法律依据；（四）告知质疑供应商依法投诉的权利；（五）质疑答复人名称；（六）答复质疑的日期。质疑答复的内容不得涉及商业秘密。</w:t>
      </w:r>
      <w:r>
        <w:rPr>
          <w:rFonts w:hint="eastAsia" w:ascii="仿宋_GB2312" w:hAnsi="微软雅黑" w:eastAsia="仿宋_GB2312"/>
          <w:color w:val="333333"/>
          <w:sz w:val="32"/>
          <w:szCs w:val="32"/>
        </w:rPr>
        <w:t>”，未明确回复质疑事项并告知质疑人的权力。</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Helvetica Neue" w:hAnsi="Helvetica Neue" w:eastAsia="Helvetica Neue" w:cs="Helvetica Neue"/>
          <w:color w:val="3E3E3E"/>
        </w:rPr>
      </w:pPr>
      <w:r>
        <w:rPr>
          <w:rFonts w:hint="eastAsia" w:ascii="仿宋_GB2312" w:hAnsi="微软雅黑" w:eastAsia="仿宋_GB2312"/>
          <w:color w:val="333333"/>
          <w:sz w:val="32"/>
          <w:szCs w:val="32"/>
        </w:rPr>
        <w:t>投诉事项二，经我局审查发现，本项目在开标截止时间前，除投诉人之外其他投标供应商签到的同时未递交询价文件，代理机构在开标截止时间后才签收询价文件，违反了</w:t>
      </w:r>
      <w:r>
        <w:rPr>
          <w:rFonts w:ascii="仿宋_GB2312" w:hAnsi="微软雅黑" w:eastAsia="仿宋_GB2312"/>
          <w:color w:val="333333"/>
          <w:sz w:val="32"/>
          <w:szCs w:val="32"/>
        </w:rPr>
        <w:t>《江西省政府采购程序规范》的通知(赣财购[2011]8号)</w:t>
      </w:r>
      <w:r>
        <w:rPr>
          <w:rFonts w:hint="eastAsia" w:ascii="仿宋_GB2312" w:hAnsi="微软雅黑" w:eastAsia="仿宋_GB2312" w:cstheme="minorBidi"/>
          <w:color w:val="333333"/>
          <w:kern w:val="2"/>
          <w:sz w:val="32"/>
          <w:szCs w:val="32"/>
        </w:rPr>
        <w:t xml:space="preserve"> </w:t>
      </w:r>
      <w:r>
        <w:rPr>
          <w:rFonts w:hint="eastAsia" w:ascii="仿宋_GB2312" w:hAnsi="微软雅黑" w:eastAsia="仿宋_GB2312"/>
          <w:color w:val="333333"/>
          <w:sz w:val="32"/>
          <w:szCs w:val="32"/>
        </w:rPr>
        <w:t>第四章  政府采购询价程序</w:t>
      </w:r>
      <w:r>
        <w:rPr>
          <w:rFonts w:hint="eastAsia" w:ascii="仿宋_GB2312" w:hAnsi="微软雅黑" w:eastAsia="仿宋_GB2312" w:cstheme="minorBidi"/>
          <w:color w:val="333333"/>
          <w:kern w:val="2"/>
          <w:sz w:val="32"/>
          <w:szCs w:val="32"/>
        </w:rPr>
        <w:t xml:space="preserve"> “</w:t>
      </w:r>
      <w:r>
        <w:rPr>
          <w:rFonts w:hint="eastAsia" w:ascii="仿宋_GB2312" w:hAnsi="微软雅黑" w:eastAsia="仿宋_GB2312"/>
          <w:color w:val="333333"/>
          <w:sz w:val="32"/>
          <w:szCs w:val="32"/>
        </w:rPr>
        <w:t>五、递交响应文件  供应商按照询价文件要求编制响应文件并盖章，在询价文件规定的时间、地点将响应文件密封递交。代理机构收到响应文件后签收保存。</w:t>
      </w:r>
      <w:r>
        <w:rPr>
          <w:rFonts w:hint="eastAsia" w:ascii="微软雅黑" w:hAnsi="微软雅黑" w:eastAsia="微软雅黑"/>
          <w:color w:val="333333"/>
          <w:sz w:val="32"/>
          <w:szCs w:val="32"/>
        </w:rPr>
        <w:t>……</w:t>
      </w:r>
      <w:r>
        <w:rPr>
          <w:rFonts w:hint="eastAsia" w:ascii="仿宋_GB2312" w:hAnsi="微软雅黑" w:eastAsia="仿宋_GB2312"/>
          <w:color w:val="333333"/>
          <w:sz w:val="32"/>
          <w:szCs w:val="32"/>
        </w:rPr>
        <w:t>”。根据审查结果，投诉人的投诉事项成立。</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ascii="微软雅黑" w:hAnsi="微软雅黑" w:eastAsia="微软雅黑"/>
          <w:color w:val="333333"/>
          <w:sz w:val="21"/>
          <w:szCs w:val="21"/>
        </w:rPr>
      </w:pPr>
      <w:r>
        <w:rPr>
          <w:rFonts w:hint="eastAsia" w:ascii="仿宋_GB2312" w:hAnsi="微软雅黑" w:eastAsia="仿宋_GB2312"/>
          <w:color w:val="333333"/>
          <w:sz w:val="32"/>
          <w:szCs w:val="32"/>
        </w:rPr>
        <w:t>综上所述，本机关投诉处理如下：根据《政府采购质疑与投诉办法》（财政部令第94号）第三十二条第二项的规定，中标结果无效；根据《中华人民共和国采购法》第三十六条第二项的规定，应予废标。</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b/>
          <w:bCs/>
          <w:color w:val="333333"/>
          <w:sz w:val="32"/>
          <w:szCs w:val="32"/>
        </w:rPr>
        <w:t>六、其他补充事宜</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如对上述处理决定不服,可在收到本决定书起60日内向宜黄县人民政府提起行政复议或六个月内向人民法院提起行政诉讼。</w:t>
      </w:r>
    </w:p>
    <w:p>
      <w:pPr>
        <w:pStyle w:val="10"/>
        <w:shd w:val="clear" w:color="auto" w:fill="FFFFFF"/>
        <w:spacing w:before="0" w:beforeAutospacing="0" w:after="0" w:afterAutospacing="0" w:line="500" w:lineRule="exact"/>
        <w:ind w:firstLine="640"/>
        <w:rPr>
          <w:rFonts w:hint="eastAsia" w:ascii="仿宋_GB2312" w:hAnsi="微软雅黑" w:eastAsia="仿宋_GB2312"/>
          <w:color w:val="333333"/>
          <w:sz w:val="32"/>
          <w:szCs w:val="32"/>
        </w:rPr>
      </w:pPr>
    </w:p>
    <w:p>
      <w:pPr>
        <w:pStyle w:val="10"/>
        <w:shd w:val="clear" w:color="auto" w:fill="FFFFFF"/>
        <w:spacing w:before="0" w:beforeAutospacing="0" w:after="0" w:afterAutospacing="0" w:line="500" w:lineRule="exact"/>
        <w:ind w:firstLine="640"/>
        <w:rPr>
          <w:rFonts w:hint="eastAsia" w:ascii="仿宋_GB2312" w:hAnsi="微软雅黑" w:eastAsia="仿宋_GB2312"/>
          <w:color w:val="333333"/>
          <w:sz w:val="32"/>
          <w:szCs w:val="32"/>
        </w:rPr>
      </w:pPr>
    </w:p>
    <w:p>
      <w:pPr>
        <w:pStyle w:val="11"/>
        <w:shd w:val="clear" w:color="auto" w:fill="FFFFFF"/>
        <w:spacing w:before="0" w:beforeAutospacing="0" w:after="0" w:afterAutospacing="0" w:line="640" w:lineRule="atLeast"/>
        <w:ind w:firstLine="480"/>
        <w:rPr>
          <w:rFonts w:ascii="微软雅黑" w:hAnsi="微软雅黑" w:eastAsia="微软雅黑"/>
          <w:color w:val="333333"/>
          <w:sz w:val="21"/>
          <w:szCs w:val="21"/>
        </w:rPr>
      </w:pPr>
      <w:r>
        <w:rPr>
          <w:rFonts w:hint="eastAsia" w:ascii="仿宋_GB2312" w:hAnsi="微软雅黑" w:eastAsia="仿宋_GB2312"/>
          <w:color w:val="000000"/>
          <w:sz w:val="32"/>
          <w:szCs w:val="32"/>
        </w:rPr>
        <w:t>                                          </w:t>
      </w: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 宜黄县财政局</w:t>
      </w:r>
    </w:p>
    <w:p>
      <w:pPr>
        <w:pStyle w:val="11"/>
        <w:shd w:val="clear" w:color="auto" w:fill="FFFFFF"/>
        <w:spacing w:before="0" w:beforeAutospacing="0" w:after="0" w:afterAutospacing="0" w:line="640" w:lineRule="atLeast"/>
        <w:jc w:val="both"/>
        <w:rPr>
          <w:rFonts w:ascii="微软雅黑" w:hAnsi="微软雅黑" w:eastAsia="微软雅黑"/>
          <w:color w:val="333333"/>
          <w:sz w:val="21"/>
          <w:szCs w:val="21"/>
        </w:rPr>
      </w:pPr>
      <w:r>
        <w:rPr>
          <w:rFonts w:hint="eastAsia" w:ascii="仿宋_GB2312" w:hAnsi="微软雅黑" w:eastAsia="仿宋_GB2312"/>
          <w:color w:val="000000"/>
          <w:sz w:val="32"/>
          <w:szCs w:val="32"/>
        </w:rPr>
        <w:t>                                              2021年4月25日</w:t>
      </w:r>
    </w:p>
    <w:p>
      <w:pPr>
        <w:rPr>
          <w:rFonts w:ascii="仿宋_GB2312" w:eastAsia="仿宋_GB2312"/>
          <w:sz w:val="32"/>
          <w:szCs w:val="32"/>
        </w:rPr>
      </w:pPr>
    </w:p>
    <w:p>
      <w:pPr>
        <w:rPr>
          <w:rFonts w:ascii="仿宋_GB2312" w:eastAsia="仿宋_GB2312"/>
          <w:sz w:val="32"/>
          <w:szCs w:val="32"/>
        </w:rPr>
      </w:pPr>
      <w:bookmarkStart w:id="0" w:name="_GoBack"/>
      <w:bookmarkEnd w:id="0"/>
    </w:p>
    <w:p>
      <w:pP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280" w:firstLineChars="100"/>
        <w:textAlignment w:val="auto"/>
        <w:rPr>
          <w:rFonts w:hint="eastAsia" w:ascii="仿宋" w:hAnsi="仿宋" w:eastAsia="仿宋"/>
          <w:sz w:val="32"/>
          <w:szCs w:val="32"/>
        </w:rPr>
      </w:pPr>
      <w:r>
        <w:rPr>
          <w:rFonts w:eastAsia="仿宋_GB2312"/>
          <w:sz w:val="28"/>
          <w:szCs w:val="28"/>
        </w:rPr>
        <w:pict>
          <v:line id="_x0000_s2051" o:spid="_x0000_s2051" o:spt="20" style="position:absolute;left:0pt;margin-left:-1.5pt;margin-top:33.15pt;height:0pt;width:439.35pt;z-index:251660288;mso-width-relative:page;mso-height-relative:page;" coordsize="21600,21600">
            <v:path arrowok="t"/>
            <v:fill focussize="0,0"/>
            <v:stroke/>
            <v:imagedata o:title=""/>
            <o:lock v:ext="edit"/>
          </v:line>
        </w:pict>
      </w:r>
      <w:r>
        <w:rPr>
          <w:rFonts w:eastAsia="黑体"/>
          <w:sz w:val="28"/>
          <w:szCs w:val="28"/>
        </w:rPr>
        <w:pict>
          <v:line id="_x0000_s2050" o:spid="_x0000_s2050" o:spt="20" style="position:absolute;left:0pt;margin-left:-2.55pt;margin-top:0pt;height:0pt;width:439.35pt;z-index:251659264;mso-width-relative:page;mso-height-relative:page;" coordsize="21600,21600">
            <v:path arrowok="t"/>
            <v:fill focussize="0,0"/>
            <v:stroke/>
            <v:imagedata o:title=""/>
            <o:lock v:ext="edit"/>
          </v:line>
        </w:pict>
      </w:r>
      <w:r>
        <w:rPr>
          <w:rFonts w:hint="eastAsia" w:eastAsia="仿宋_GB2312"/>
          <w:sz w:val="28"/>
          <w:szCs w:val="28"/>
        </w:rPr>
        <w:t>宜黄</w:t>
      </w:r>
      <w:r>
        <w:rPr>
          <w:rFonts w:eastAsia="仿宋_GB2312"/>
          <w:sz w:val="28"/>
          <w:szCs w:val="28"/>
        </w:rPr>
        <w:t>县财政局人秘股</w:t>
      </w:r>
      <w:r>
        <w:rPr>
          <w:rFonts w:eastAsia="仿宋_GB2312"/>
          <w:sz w:val="32"/>
          <w:szCs w:val="32"/>
        </w:rPr>
        <w:t>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w:t>
      </w:r>
      <w:r>
        <w:rPr>
          <w:rFonts w:hint="eastAsia" w:ascii="仿宋_GB2312" w:eastAsia="仿宋_GB2312"/>
          <w:sz w:val="28"/>
          <w:szCs w:val="28"/>
        </w:rPr>
        <w:t>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月2</w:t>
      </w:r>
      <w:r>
        <w:rPr>
          <w:rFonts w:hint="eastAsia" w:ascii="仿宋_GB2312" w:eastAsia="仿宋_GB2312"/>
          <w:sz w:val="28"/>
          <w:szCs w:val="28"/>
          <w:lang w:val="en-US" w:eastAsia="zh-CN"/>
        </w:rPr>
        <w:t>5</w:t>
      </w:r>
      <w:r>
        <w:rPr>
          <w:rFonts w:hint="eastAsia" w:ascii="仿宋_GB2312" w:eastAsia="仿宋_GB2312"/>
          <w:sz w:val="28"/>
          <w:szCs w:val="28"/>
        </w:rPr>
        <w:t>日印发</w:t>
      </w:r>
    </w:p>
    <w:sectPr>
      <w:pgSz w:w="11906" w:h="16838"/>
      <w:pgMar w:top="1984" w:right="1587"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1A3F77"/>
    <w:multiLevelType w:val="multilevel"/>
    <w:tmpl w:val="481A3F77"/>
    <w:lvl w:ilvl="0" w:tentative="0">
      <w:start w:val="1"/>
      <w:numFmt w:val="japaneseCounting"/>
      <w:lvlText w:val="%1、"/>
      <w:lvlJc w:val="left"/>
      <w:pPr>
        <w:ind w:left="660" w:hanging="6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28E9"/>
    <w:rsid w:val="000079DA"/>
    <w:rsid w:val="000F0617"/>
    <w:rsid w:val="001417CB"/>
    <w:rsid w:val="00265929"/>
    <w:rsid w:val="002C2B5D"/>
    <w:rsid w:val="002C5744"/>
    <w:rsid w:val="002E01E4"/>
    <w:rsid w:val="003528E9"/>
    <w:rsid w:val="00383822"/>
    <w:rsid w:val="003A1E03"/>
    <w:rsid w:val="004C575F"/>
    <w:rsid w:val="00635AC0"/>
    <w:rsid w:val="006668EE"/>
    <w:rsid w:val="00672805"/>
    <w:rsid w:val="006C187C"/>
    <w:rsid w:val="007327E8"/>
    <w:rsid w:val="00800031"/>
    <w:rsid w:val="00814139"/>
    <w:rsid w:val="00945C75"/>
    <w:rsid w:val="009901B3"/>
    <w:rsid w:val="00A742D9"/>
    <w:rsid w:val="00B51324"/>
    <w:rsid w:val="00BB74EB"/>
    <w:rsid w:val="00BE398C"/>
    <w:rsid w:val="00C03826"/>
    <w:rsid w:val="00C3017D"/>
    <w:rsid w:val="00D06C0C"/>
    <w:rsid w:val="00D46275"/>
    <w:rsid w:val="00DE3BD0"/>
    <w:rsid w:val="00DF6A04"/>
    <w:rsid w:val="00EF256D"/>
    <w:rsid w:val="5E436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80" w:after="180" w:line="540" w:lineRule="exact"/>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qFormat/>
    <w:uiPriority w:val="0"/>
    <w:pPr>
      <w:spacing w:before="100" w:beforeAutospacing="1" w:after="100" w:afterAutospacing="1" w:line="240" w:lineRule="auto"/>
      <w:jc w:val="left"/>
    </w:pPr>
    <w:rPr>
      <w:rFonts w:ascii="Calibri" w:hAnsi="Calibri" w:eastAsia="宋体" w:cs="Times New Roman"/>
      <w:kern w:val="0"/>
      <w:sz w:val="24"/>
      <w:szCs w:val="24"/>
    </w:rPr>
  </w:style>
  <w:style w:type="character" w:styleId="7">
    <w:name w:val="Strong"/>
    <w:basedOn w:val="6"/>
    <w:qFormat/>
    <w:uiPriority w:val="0"/>
    <w:rPr>
      <w:b/>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 w:type="paragraph" w:customStyle="1" w:styleId="10">
    <w:name w:val="p0"/>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paragraph" w:customStyle="1" w:styleId="11">
    <w:name w:val="p16"/>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262</Words>
  <Characters>1499</Characters>
  <Lines>12</Lines>
  <Paragraphs>3</Paragraphs>
  <TotalTime>11</TotalTime>
  <ScaleCrop>false</ScaleCrop>
  <LinksUpToDate>false</LinksUpToDate>
  <CharactersWithSpaces>1758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2021-04-16T08:31:00Z</dcterms:created>
  <dc:creator>gyb1</dc:creator>
  <cp:lastModifiedBy>吴卫华</cp:lastModifiedBy>
  <cp:lastPrinted>2021-05-10T01:15:05Z</cp:lastPrinted>
  <dcterms:modified xsi:type="dcterms:W3CDTF">2021-05-10T01:22:15Z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FB06FCDF033E4F939BA62A9602C3B299</vt:lpwstr>
  </property>
</Properties>
</file>