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center"/>
        <w:rPr>
          <w:rFonts w:hint="default" w:ascii="方正小标宋简体" w:eastAsia="方正小标宋简体" w:hAnsiTheme="majorEastAsia" w:cstheme="majorEastAsia"/>
          <w:color w:val="333333"/>
          <w:sz w:val="44"/>
          <w:szCs w:val="44"/>
          <w:shd w:val="clear" w:color="auto" w:fill="FFFFFF"/>
          <w:lang w:val="en-US" w:eastAsia="zh-CN"/>
        </w:rPr>
      </w:pPr>
      <w:r>
        <w:rPr>
          <w:rFonts w:hint="eastAsia" w:ascii="方正小标宋简体" w:eastAsia="方正小标宋简体" w:hAnsiTheme="majorEastAsia" w:cstheme="majorEastAsia"/>
          <w:bCs/>
          <w:kern w:val="0"/>
          <w:sz w:val="44"/>
          <w:szCs w:val="44"/>
          <w:shd w:val="clear" w:color="auto" w:fill="FFFFFF"/>
          <w:lang w:val="en-US" w:eastAsia="zh-CN"/>
        </w:rPr>
        <w:t>监督检查处理结果公告</w:t>
      </w:r>
    </w:p>
    <w:p>
      <w:pPr>
        <w:widowControl/>
        <w:shd w:val="clear" w:color="auto" w:fill="FFFFFF"/>
        <w:spacing w:line="560" w:lineRule="exact"/>
        <w:ind w:left="840" w:leftChars="400" w:firstLine="1100" w:firstLineChars="250"/>
        <w:rPr>
          <w:rFonts w:ascii="方正小标宋简体" w:eastAsia="方正小标宋简体" w:hAnsiTheme="majorEastAsia" w:cstheme="majorEastAsia"/>
          <w:color w:val="333333"/>
          <w:sz w:val="44"/>
          <w:szCs w:val="44"/>
          <w:shd w:val="clear" w:color="auto" w:fill="FFFFFF"/>
        </w:rPr>
      </w:pPr>
    </w:p>
    <w:p>
      <w:pPr>
        <w:pStyle w:val="2"/>
        <w:widowControl/>
        <w:numPr>
          <w:ilvl w:val="0"/>
          <w:numId w:val="0"/>
        </w:numPr>
        <w:shd w:val="clear" w:color="auto" w:fill="FFFFFF"/>
        <w:spacing w:beforeAutospacing="0" w:afterAutospacing="0" w:line="560" w:lineRule="exact"/>
        <w:jc w:val="both"/>
        <w:rPr>
          <w:rFonts w:hint="default" w:ascii="黑体" w:hAnsi="黑体" w:eastAsia="黑体" w:cs="黑体"/>
          <w:color w:val="333333"/>
          <w:sz w:val="32"/>
          <w:szCs w:val="32"/>
          <w:shd w:val="clear" w:color="auto" w:fill="FFFFFF"/>
          <w:lang w:val="en-US" w:eastAsia="zh-CN"/>
        </w:rPr>
      </w:pPr>
      <w:r>
        <w:rPr>
          <w:rFonts w:hint="eastAsia" w:ascii="黑体" w:hAnsi="黑体" w:eastAsia="黑体" w:cs="黑体"/>
          <w:color w:val="333333"/>
          <w:sz w:val="32"/>
          <w:szCs w:val="32"/>
          <w:shd w:val="clear" w:color="auto" w:fill="FFFFFF"/>
          <w:lang w:val="en-US" w:eastAsia="zh-CN"/>
        </w:rPr>
        <w:t>一、项目编号</w:t>
      </w:r>
    </w:p>
    <w:p>
      <w:pPr>
        <w:rPr>
          <w:rFonts w:hint="eastAsia" w:ascii="仿宋_GB2312" w:hAnsi="仿宋" w:eastAsia="仿宋_GB2312" w:cs="仿宋"/>
          <w:bCs/>
          <w:color w:val="000000"/>
          <w:kern w:val="2"/>
          <w:sz w:val="32"/>
          <w:szCs w:val="32"/>
          <w:shd w:val="clear" w:color="auto" w:fill="FFFFFF"/>
        </w:rPr>
      </w:pPr>
      <w:r>
        <w:rPr>
          <w:rFonts w:hint="eastAsia" w:ascii="仿宋_GB2312" w:hAnsi="仿宋" w:eastAsia="仿宋_GB2312" w:cs="仿宋"/>
          <w:bCs/>
          <w:color w:val="000000"/>
          <w:kern w:val="2"/>
          <w:sz w:val="32"/>
          <w:szCs w:val="32"/>
          <w:shd w:val="clear" w:color="auto" w:fill="FFFFFF"/>
        </w:rPr>
        <w:t>建兴安福政采字【2022】2号</w:t>
      </w:r>
      <w:r>
        <w:rPr>
          <w:rFonts w:hint="eastAsia" w:ascii="仿宋_GB2312" w:hAnsi="仿宋" w:eastAsia="仿宋_GB2312" w:cs="仿宋"/>
          <w:bCs/>
          <w:color w:val="000000"/>
          <w:kern w:val="2"/>
          <w:sz w:val="32"/>
          <w:szCs w:val="32"/>
          <w:shd w:val="clear" w:color="auto" w:fill="FFFFFF"/>
          <w:lang w:eastAsia="zh-CN"/>
        </w:rPr>
        <w:t>、</w:t>
      </w:r>
      <w:r>
        <w:rPr>
          <w:rFonts w:hint="eastAsia" w:ascii="仿宋_GB2312" w:hAnsi="仿宋" w:eastAsia="仿宋_GB2312" w:cs="仿宋"/>
          <w:bCs/>
          <w:color w:val="000000"/>
          <w:kern w:val="2"/>
          <w:sz w:val="32"/>
          <w:szCs w:val="32"/>
          <w:shd w:val="clear" w:color="auto" w:fill="FFFFFF"/>
        </w:rPr>
        <w:t>建兴安福政采字【2021】3号</w:t>
      </w:r>
    </w:p>
    <w:p>
      <w:pPr>
        <w:pStyle w:val="2"/>
        <w:widowControl/>
        <w:numPr>
          <w:ilvl w:val="0"/>
          <w:numId w:val="0"/>
        </w:numPr>
        <w:shd w:val="clear" w:color="auto" w:fill="FFFFFF"/>
        <w:tabs>
          <w:tab w:val="left" w:pos="583"/>
        </w:tabs>
        <w:spacing w:beforeAutospacing="0" w:afterAutospacing="0" w:line="560" w:lineRule="exact"/>
        <w:jc w:val="both"/>
        <w:rPr>
          <w:rFonts w:hint="default" w:ascii="黑体" w:hAnsi="黑体" w:eastAsia="黑体" w:cs="黑体"/>
          <w:color w:val="333333"/>
          <w:sz w:val="32"/>
          <w:szCs w:val="32"/>
          <w:shd w:val="clear" w:color="auto" w:fill="FFFFFF"/>
          <w:lang w:val="en-US" w:eastAsia="zh-CN"/>
        </w:rPr>
      </w:pPr>
      <w:r>
        <w:rPr>
          <w:rFonts w:hint="eastAsia" w:ascii="黑体" w:hAnsi="黑体" w:eastAsia="黑体" w:cs="黑体"/>
          <w:color w:val="333333"/>
          <w:sz w:val="32"/>
          <w:szCs w:val="32"/>
          <w:shd w:val="clear" w:color="auto" w:fill="FFFFFF"/>
          <w:lang w:val="en-US" w:eastAsia="zh-CN"/>
        </w:rPr>
        <w:t>二、项目名称</w:t>
      </w:r>
    </w:p>
    <w:p>
      <w:pPr>
        <w:rPr>
          <w:rFonts w:hint="eastAsia" w:ascii="仿宋_GB2312" w:hAnsi="仿宋" w:eastAsia="仿宋_GB2312" w:cs="仿宋"/>
          <w:bCs/>
          <w:color w:val="000000"/>
          <w:kern w:val="2"/>
          <w:sz w:val="32"/>
          <w:szCs w:val="32"/>
          <w:shd w:val="clear" w:color="auto" w:fill="FFFFFF"/>
        </w:rPr>
      </w:pPr>
      <w:r>
        <w:rPr>
          <w:rFonts w:hint="eastAsia" w:ascii="仿宋_GB2312" w:hAnsi="仿宋" w:eastAsia="仿宋_GB2312" w:cs="仿宋"/>
          <w:bCs/>
          <w:color w:val="000000"/>
          <w:kern w:val="2"/>
          <w:sz w:val="32"/>
          <w:szCs w:val="32"/>
          <w:shd w:val="clear" w:color="auto" w:fill="FFFFFF"/>
        </w:rPr>
        <w:t>安福县2022年水利工程（水库）调度规程编制技术服务采购项目</w:t>
      </w:r>
      <w:r>
        <w:rPr>
          <w:rFonts w:hint="eastAsia" w:ascii="仿宋_GB2312" w:hAnsi="仿宋" w:eastAsia="仿宋_GB2312" w:cs="仿宋"/>
          <w:bCs/>
          <w:color w:val="000000"/>
          <w:kern w:val="2"/>
          <w:sz w:val="32"/>
          <w:szCs w:val="32"/>
          <w:shd w:val="clear" w:color="auto" w:fill="FFFFFF"/>
          <w:lang w:eastAsia="zh-CN"/>
        </w:rPr>
        <w:t>、</w:t>
      </w:r>
      <w:r>
        <w:rPr>
          <w:rFonts w:hint="eastAsia" w:ascii="仿宋_GB2312" w:hAnsi="仿宋" w:eastAsia="仿宋_GB2312" w:cs="仿宋"/>
          <w:bCs/>
          <w:color w:val="000000"/>
          <w:kern w:val="2"/>
          <w:sz w:val="32"/>
          <w:szCs w:val="32"/>
          <w:shd w:val="clear" w:color="auto" w:fill="FFFFFF"/>
        </w:rPr>
        <w:t>安福县水利信息中心综合管理平台建设采购项目</w:t>
      </w:r>
    </w:p>
    <w:p>
      <w:pPr>
        <w:pStyle w:val="2"/>
        <w:widowControl/>
        <w:numPr>
          <w:ilvl w:val="0"/>
          <w:numId w:val="0"/>
        </w:numPr>
        <w:shd w:val="clear" w:color="auto" w:fill="FFFFFF"/>
        <w:spacing w:beforeAutospacing="0" w:afterAutospacing="0" w:line="560" w:lineRule="exact"/>
        <w:jc w:val="both"/>
        <w:rPr>
          <w:rFonts w:hint="default" w:ascii="黑体" w:hAnsi="黑体" w:eastAsia="黑体" w:cs="黑体"/>
          <w:color w:val="333333"/>
          <w:sz w:val="32"/>
          <w:szCs w:val="32"/>
          <w:shd w:val="clear" w:color="auto" w:fill="FFFFFF"/>
          <w:lang w:val="en-US" w:eastAsia="zh-CN"/>
        </w:rPr>
      </w:pPr>
      <w:r>
        <w:rPr>
          <w:rFonts w:hint="eastAsia" w:ascii="黑体" w:hAnsi="黑体" w:eastAsia="黑体" w:cs="黑体"/>
          <w:color w:val="333333"/>
          <w:sz w:val="32"/>
          <w:szCs w:val="32"/>
          <w:shd w:val="clear" w:color="auto" w:fill="FFFFFF"/>
          <w:lang w:val="en-US" w:eastAsia="zh-CN"/>
        </w:rPr>
        <w:t>三、相关当事人</w:t>
      </w:r>
    </w:p>
    <w:p>
      <w:pPr>
        <w:pStyle w:val="2"/>
        <w:widowControl/>
        <w:shd w:val="clear" w:color="auto" w:fill="FFFFFF"/>
        <w:spacing w:beforeAutospacing="0" w:afterAutospacing="0" w:line="560" w:lineRule="exact"/>
        <w:jc w:val="both"/>
        <w:rPr>
          <w:rFonts w:ascii="仿宋_GB2312" w:hAnsi="仿宋" w:eastAsia="仿宋_GB2312" w:cs="仿宋"/>
          <w:bCs/>
          <w:color w:val="000000"/>
          <w:kern w:val="2"/>
          <w:sz w:val="32"/>
          <w:szCs w:val="32"/>
          <w:shd w:val="clear" w:color="auto" w:fill="FFFFFF"/>
        </w:rPr>
      </w:pPr>
      <w:r>
        <w:rPr>
          <w:rFonts w:hint="eastAsia" w:ascii="仿宋_GB2312" w:hAnsi="仿宋" w:eastAsia="仿宋_GB2312" w:cs="仿宋"/>
          <w:bCs/>
          <w:color w:val="000000"/>
          <w:kern w:val="2"/>
          <w:sz w:val="32"/>
          <w:szCs w:val="32"/>
          <w:shd w:val="clear" w:color="auto" w:fill="FFFFFF"/>
        </w:rPr>
        <w:t>当 事 人: 安福县水利局</w:t>
      </w:r>
    </w:p>
    <w:p>
      <w:pPr>
        <w:pStyle w:val="2"/>
        <w:widowControl/>
        <w:shd w:val="clear" w:color="auto" w:fill="FFFFFF"/>
        <w:spacing w:beforeAutospacing="0" w:afterAutospacing="0" w:line="560" w:lineRule="exact"/>
        <w:jc w:val="both"/>
        <w:rPr>
          <w:rFonts w:hint="eastAsia" w:ascii="仿宋_GB2312" w:hAnsi="仿宋" w:eastAsia="仿宋_GB2312" w:cs="仿宋"/>
          <w:bCs/>
          <w:color w:val="000000"/>
          <w:kern w:val="2"/>
          <w:sz w:val="32"/>
          <w:szCs w:val="32"/>
          <w:shd w:val="clear" w:color="auto" w:fill="FFFFFF"/>
        </w:rPr>
      </w:pPr>
      <w:r>
        <w:rPr>
          <w:rFonts w:hint="eastAsia" w:ascii="仿宋_GB2312" w:hAnsi="仿宋" w:eastAsia="仿宋_GB2312" w:cs="仿宋"/>
          <w:bCs/>
          <w:color w:val="000000"/>
          <w:kern w:val="2"/>
          <w:sz w:val="32"/>
          <w:szCs w:val="32"/>
          <w:shd w:val="clear" w:color="auto" w:fill="FFFFFF"/>
        </w:rPr>
        <w:t>联系地址：安福县泸水河大道</w:t>
      </w:r>
    </w:p>
    <w:p>
      <w:pPr>
        <w:pStyle w:val="2"/>
        <w:widowControl/>
        <w:numPr>
          <w:ilvl w:val="0"/>
          <w:numId w:val="0"/>
        </w:numPr>
        <w:shd w:val="clear" w:color="auto" w:fill="FFFFFF"/>
        <w:spacing w:beforeAutospacing="0" w:afterAutospacing="0" w:line="560" w:lineRule="exact"/>
        <w:jc w:val="both"/>
        <w:rPr>
          <w:rFonts w:hint="default" w:ascii="黑体" w:hAnsi="黑体" w:eastAsia="黑体" w:cs="黑体"/>
          <w:color w:val="333333"/>
          <w:sz w:val="32"/>
          <w:szCs w:val="32"/>
          <w:shd w:val="clear" w:color="auto" w:fill="FFFFFF"/>
          <w:lang w:val="en-US" w:eastAsia="zh-CN"/>
        </w:rPr>
      </w:pPr>
      <w:r>
        <w:rPr>
          <w:rFonts w:hint="eastAsia" w:ascii="黑体" w:hAnsi="黑体" w:eastAsia="黑体" w:cs="黑体"/>
          <w:color w:val="333333"/>
          <w:sz w:val="32"/>
          <w:szCs w:val="32"/>
          <w:shd w:val="clear" w:color="auto" w:fill="FFFFFF"/>
          <w:lang w:val="en-US" w:eastAsia="zh-CN"/>
        </w:rPr>
        <w:t>四、基本情况</w:t>
      </w:r>
    </w:p>
    <w:p>
      <w:pPr>
        <w:pStyle w:val="2"/>
        <w:widowControl/>
        <w:shd w:val="clear" w:color="auto" w:fill="FFFFFF"/>
        <w:spacing w:beforeAutospacing="0" w:afterAutospacing="0" w:line="560" w:lineRule="exact"/>
        <w:ind w:firstLine="640" w:firstLineChars="200"/>
        <w:jc w:val="both"/>
        <w:rPr>
          <w:rFonts w:ascii="仿宋_GB2312" w:hAnsi="仿宋" w:eastAsia="仿宋_GB2312" w:cs="仿宋"/>
          <w:bCs/>
          <w:color w:val="000000"/>
          <w:kern w:val="2"/>
          <w:sz w:val="32"/>
          <w:szCs w:val="32"/>
          <w:shd w:val="clear" w:color="auto" w:fill="FFFFFF"/>
        </w:rPr>
      </w:pPr>
      <w:r>
        <w:rPr>
          <w:rFonts w:hint="eastAsia" w:ascii="仿宋_GB2312" w:hAnsi="宋体" w:eastAsia="仿宋_GB2312"/>
          <w:color w:val="000000"/>
          <w:sz w:val="32"/>
          <w:szCs w:val="32"/>
        </w:rPr>
        <w:t>根据《吉安市财政局 吉安市公安局 吉安市市场监督管理局关于开展2023年政府采购领域“四类”违法违规行为专项整治工作的通知》（吉财购〔2023〕34号）</w:t>
      </w:r>
      <w:r>
        <w:rPr>
          <w:rFonts w:hint="eastAsia" w:ascii="仿宋_GB2312" w:hAnsi="楷体_GB2312" w:eastAsia="仿宋_GB2312" w:cs="楷体_GB2312"/>
          <w:sz w:val="32"/>
          <w:szCs w:val="32"/>
        </w:rPr>
        <w:t>文件布署，</w:t>
      </w:r>
      <w:r>
        <w:rPr>
          <w:rFonts w:hint="eastAsia" w:ascii="仿宋_GB2312" w:hAnsi="仿宋" w:eastAsia="仿宋_GB2312" w:cs="仿宋"/>
          <w:bCs/>
          <w:color w:val="000000"/>
          <w:kern w:val="2"/>
          <w:sz w:val="32"/>
          <w:szCs w:val="32"/>
          <w:shd w:val="clear" w:color="auto" w:fill="FFFFFF"/>
        </w:rPr>
        <w:t>检查组对你单位的安福县2022年水利工程（水库）调度规程编制技术服务采购项目（项目编号: 建兴安福政采字【2022】2号）、安福县水利信息中心综合管理平台建设采购项目（项目编号: 建兴安福政采字【2021】3号）进行了检查，发现存在以下问题：</w:t>
      </w:r>
    </w:p>
    <w:p>
      <w:pPr>
        <w:spacing w:line="560" w:lineRule="exact"/>
        <w:ind w:firstLine="640" w:firstLineChars="200"/>
        <w:rPr>
          <w:rFonts w:ascii="仿宋_GB2312" w:hAnsi="仿宋" w:eastAsia="仿宋_GB2312" w:cs="仿宋"/>
          <w:bCs/>
          <w:color w:val="000000"/>
          <w:sz w:val="32"/>
          <w:szCs w:val="32"/>
          <w:shd w:val="clear" w:color="auto" w:fill="FFFFFF"/>
        </w:rPr>
      </w:pPr>
      <w:r>
        <w:rPr>
          <w:rFonts w:hint="eastAsia" w:ascii="仿宋_GB2312" w:hAnsi="仿宋" w:eastAsia="仿宋_GB2312" w:cs="仿宋"/>
          <w:bCs/>
          <w:color w:val="000000"/>
          <w:sz w:val="32"/>
          <w:szCs w:val="32"/>
          <w:shd w:val="clear" w:color="auto" w:fill="FFFFFF"/>
        </w:rPr>
        <w:t>（一）安福县2022年水利工程（水库）调度规程编制技术服务采购项目（项目编号: 建兴安福政采字【2022】2号）</w:t>
      </w:r>
    </w:p>
    <w:p>
      <w:pPr>
        <w:spacing w:line="560" w:lineRule="exact"/>
        <w:ind w:firstLine="640" w:firstLineChars="200"/>
        <w:rPr>
          <w:rFonts w:ascii="仿宋_GB2312" w:hAnsi="仿宋" w:eastAsia="仿宋_GB2312" w:cs="仿宋"/>
          <w:bCs/>
          <w:color w:val="000000"/>
          <w:sz w:val="32"/>
          <w:szCs w:val="32"/>
          <w:shd w:val="clear" w:color="auto" w:fill="FFFFFF"/>
        </w:rPr>
      </w:pPr>
      <w:r>
        <w:rPr>
          <w:rFonts w:hint="eastAsia" w:ascii="仿宋_GB2312" w:hAnsi="仿宋" w:eastAsia="仿宋_GB2312" w:cs="仿宋"/>
          <w:bCs/>
          <w:color w:val="000000"/>
          <w:sz w:val="32"/>
          <w:szCs w:val="32"/>
          <w:shd w:val="clear" w:color="auto" w:fill="FFFFFF"/>
        </w:rPr>
        <w:t>1.技术部分中“投标人须针对本项目提供技术方案可行性及合理性(20 分)①技术方案；②质量保证措施；③进度保证措施；④可预见实施难度应对办法等，理解精准、方案科学合理、措施切实可行，每项得5分，理解精准、方案合理、措施可行的得3分，理解精准、方案合理、措施基本可行的得2分，未提供不得分，最高得20分，评分标准未细化量化，违反《政府采购货物和服务招标投标管理办法》第五十五条。</w:t>
      </w:r>
    </w:p>
    <w:p>
      <w:pPr>
        <w:spacing w:line="560" w:lineRule="exact"/>
        <w:ind w:firstLine="640" w:firstLineChars="200"/>
        <w:rPr>
          <w:rFonts w:ascii="仿宋_GB2312" w:hAnsi="仿宋" w:eastAsia="仿宋_GB2312" w:cs="仿宋"/>
          <w:bCs/>
          <w:color w:val="000000"/>
          <w:sz w:val="32"/>
          <w:szCs w:val="32"/>
          <w:shd w:val="clear" w:color="auto" w:fill="FFFFFF"/>
        </w:rPr>
      </w:pPr>
      <w:r>
        <w:rPr>
          <w:rFonts w:hint="eastAsia" w:ascii="仿宋_GB2312" w:hAnsi="仿宋" w:eastAsia="仿宋_GB2312" w:cs="仿宋"/>
          <w:bCs/>
          <w:color w:val="000000"/>
          <w:sz w:val="32"/>
          <w:szCs w:val="32"/>
          <w:shd w:val="clear" w:color="auto" w:fill="FFFFFF"/>
        </w:rPr>
        <w:t>2.商务部分“人员配备②、拟派本项目组人员具有移民工程师职称</w:t>
      </w:r>
      <w:r>
        <w:rPr>
          <w:rFonts w:ascii="仿宋_GB2312" w:hAnsi="仿宋" w:eastAsia="仿宋_GB2312" w:cs="仿宋"/>
          <w:bCs/>
          <w:color w:val="000000"/>
          <w:sz w:val="32"/>
          <w:szCs w:val="32"/>
          <w:shd w:val="clear" w:color="auto" w:fill="FFFFFF"/>
        </w:rPr>
        <w:t>……</w:t>
      </w:r>
      <w:r>
        <w:rPr>
          <w:rFonts w:hint="eastAsia" w:ascii="仿宋_GB2312" w:hAnsi="仿宋" w:eastAsia="仿宋_GB2312" w:cs="仿宋"/>
          <w:bCs/>
          <w:color w:val="000000"/>
          <w:sz w:val="32"/>
          <w:szCs w:val="32"/>
          <w:shd w:val="clear" w:color="auto" w:fill="FFFFFF"/>
        </w:rPr>
        <w:t>具有高级职称的得3分，最高得12分”。存在设置与采购项目的具体特点和实际需要不相适应的问题。违反《中华人民共和国政府采购法实施条例》第二十条。</w:t>
      </w:r>
    </w:p>
    <w:p>
      <w:pPr>
        <w:spacing w:line="560" w:lineRule="exact"/>
        <w:ind w:firstLine="640" w:firstLineChars="200"/>
        <w:rPr>
          <w:rFonts w:ascii="仿宋_GB2312" w:hAnsi="仿宋" w:eastAsia="仿宋_GB2312" w:cs="仿宋"/>
          <w:bCs/>
          <w:color w:val="000000"/>
          <w:sz w:val="32"/>
          <w:szCs w:val="32"/>
          <w:shd w:val="clear" w:color="auto" w:fill="FFFFFF"/>
        </w:rPr>
      </w:pPr>
      <w:r>
        <w:rPr>
          <w:rFonts w:hint="eastAsia" w:ascii="仿宋_GB2312" w:hAnsi="仿宋" w:eastAsia="仿宋_GB2312" w:cs="仿宋"/>
          <w:bCs/>
          <w:color w:val="000000"/>
          <w:sz w:val="32"/>
          <w:szCs w:val="32"/>
          <w:shd w:val="clear" w:color="auto" w:fill="FFFFFF"/>
        </w:rPr>
        <w:t>3.人员配备中“以上人员提供证书复印件加盖公章及开标截止时间前一年内连续6个月投标单位为其缴纳的养老保险参保证明复印件加盖公章编人响应文件中，未提供或提供不全的不得分。”存在对企业成立年限不合理要求直接或变相限制或排斥中小企业的问题。违反《政府采购促进中小企业发展管理办法》相关条例。</w:t>
      </w:r>
    </w:p>
    <w:p>
      <w:pPr>
        <w:spacing w:line="560" w:lineRule="exact"/>
        <w:ind w:firstLine="640" w:firstLineChars="200"/>
        <w:rPr>
          <w:rFonts w:ascii="仿宋_GB2312" w:hAnsi="仿宋" w:eastAsia="仿宋_GB2312" w:cs="仿宋"/>
          <w:bCs/>
          <w:color w:val="000000"/>
          <w:sz w:val="32"/>
          <w:szCs w:val="32"/>
          <w:shd w:val="clear" w:color="auto" w:fill="FFFFFF"/>
        </w:rPr>
      </w:pPr>
      <w:r>
        <w:rPr>
          <w:rFonts w:hint="eastAsia" w:ascii="仿宋_GB2312" w:hAnsi="仿宋" w:eastAsia="仿宋_GB2312" w:cs="仿宋"/>
          <w:bCs/>
          <w:color w:val="000000"/>
          <w:sz w:val="32"/>
          <w:szCs w:val="32"/>
          <w:shd w:val="clear" w:color="auto" w:fill="FFFFFF"/>
        </w:rPr>
        <w:t>（二）安福县水利信息中心综合管理平台建设采购项目（项目编号: 建兴安福政采字【2021】3号）</w:t>
      </w:r>
    </w:p>
    <w:p>
      <w:pPr>
        <w:spacing w:line="560" w:lineRule="exact"/>
        <w:ind w:firstLine="640" w:firstLineChars="200"/>
        <w:rPr>
          <w:rFonts w:ascii="仿宋_GB2312" w:hAnsi="仿宋" w:eastAsia="仿宋_GB2312" w:cs="仿宋"/>
          <w:bCs/>
          <w:color w:val="000000"/>
          <w:sz w:val="32"/>
          <w:szCs w:val="32"/>
          <w:shd w:val="clear" w:color="auto" w:fill="FFFFFF"/>
        </w:rPr>
      </w:pPr>
      <w:r>
        <w:rPr>
          <w:rFonts w:hint="eastAsia" w:ascii="仿宋_GB2312" w:hAnsi="仿宋" w:eastAsia="仿宋_GB2312" w:cs="仿宋"/>
          <w:bCs/>
          <w:color w:val="000000"/>
          <w:sz w:val="32"/>
          <w:szCs w:val="32"/>
          <w:shd w:val="clear" w:color="auto" w:fill="FFFFFF"/>
        </w:rPr>
        <w:t>1.技术方案中评审专家对技术方案的完整性、合理性、科学性、可行性等方面进行综合评判，并对每个小项分为优秀和一般两档缺项不得分，本项最高得10分。进行评分，优秀的每小项得1分，一般的每小项得0.5，评分标准未细化量化。违反《政府采购货物和服务招标投标管理办法》第五十五条。</w:t>
      </w:r>
    </w:p>
    <w:p>
      <w:pPr>
        <w:spacing w:line="560" w:lineRule="exact"/>
        <w:ind w:firstLine="640" w:firstLineChars="200"/>
        <w:rPr>
          <w:rFonts w:ascii="仿宋_GB2312" w:hAnsi="仿宋" w:eastAsia="仿宋_GB2312" w:cs="仿宋"/>
          <w:bCs/>
          <w:color w:val="000000"/>
          <w:sz w:val="32"/>
          <w:szCs w:val="32"/>
          <w:shd w:val="clear" w:color="auto" w:fill="FFFFFF"/>
        </w:rPr>
      </w:pPr>
      <w:r>
        <w:rPr>
          <w:rFonts w:hint="eastAsia" w:ascii="仿宋_GB2312" w:hAnsi="仿宋" w:eastAsia="仿宋_GB2312" w:cs="仿宋"/>
          <w:bCs/>
          <w:color w:val="000000"/>
          <w:sz w:val="32"/>
          <w:szCs w:val="32"/>
          <w:shd w:val="clear" w:color="auto" w:fill="FFFFFF"/>
        </w:rPr>
        <w:t>2．商务部分类似业绩投标人提供2019年以来类似项目业绩，规模达到 200万以下的每提供一个得1分，规模达到200万以上的每提供一个得1.5分，最多提供两个业绩，本项最高得3分。变相设置特定业绩、与上述规模条件存在直接关联的第三方信用评价、认证等不合理条件，存在对企业规模的不合理要求直接或变相限制排中小企业的问题。(财政部令第87号第17条)。违反《政府采购货物和服务招标投标管理办法》第十七条。</w:t>
      </w:r>
    </w:p>
    <w:p>
      <w:pPr>
        <w:spacing w:line="560" w:lineRule="exact"/>
        <w:rPr>
          <w:rFonts w:hint="default" w:ascii="黑体" w:hAnsi="黑体" w:eastAsia="黑体" w:cs="仿宋"/>
          <w:color w:val="000000"/>
          <w:sz w:val="32"/>
          <w:szCs w:val="32"/>
          <w:lang w:val="en-US" w:eastAsia="zh-CN"/>
        </w:rPr>
      </w:pPr>
      <w:r>
        <w:rPr>
          <w:rFonts w:hint="eastAsia" w:ascii="黑体" w:hAnsi="黑体" w:eastAsia="黑体" w:cs="仿宋"/>
          <w:color w:val="000000"/>
          <w:sz w:val="32"/>
          <w:szCs w:val="32"/>
          <w:lang w:val="en-US" w:eastAsia="zh-CN"/>
        </w:rPr>
        <w:t>五、处理依据及结果</w:t>
      </w:r>
    </w:p>
    <w:p>
      <w:pPr>
        <w:pStyle w:val="2"/>
        <w:widowControl/>
        <w:shd w:val="clear" w:color="auto" w:fill="FFFFFF"/>
        <w:spacing w:beforeAutospacing="0" w:afterAutospacing="0" w:line="560" w:lineRule="exact"/>
        <w:ind w:firstLine="640" w:firstLineChars="200"/>
        <w:jc w:val="both"/>
        <w:rPr>
          <w:rFonts w:hint="eastAsia" w:ascii="仿宋_GB2312" w:hAnsi="仿宋" w:eastAsia="仿宋_GB2312" w:cs="仿宋"/>
          <w:bCs/>
          <w:color w:val="000000"/>
          <w:sz w:val="32"/>
          <w:szCs w:val="32"/>
          <w:shd w:val="clear" w:color="auto" w:fill="FFFFFF"/>
        </w:rPr>
      </w:pPr>
      <w:r>
        <w:rPr>
          <w:rFonts w:hint="eastAsia" w:ascii="仿宋_GB2312" w:hAnsi="仿宋_GB2312" w:eastAsia="仿宋_GB2312" w:cs="仿宋_GB2312"/>
          <w:color w:val="000000"/>
          <w:sz w:val="32"/>
          <w:szCs w:val="32"/>
        </w:rPr>
        <w:t>根据《中华人民共和国采购法》第71条、第71条第3款、第78条，</w:t>
      </w:r>
      <w:r>
        <w:rPr>
          <w:rFonts w:hint="eastAsia" w:ascii="仿宋_GB2312" w:hAnsi="仿宋" w:eastAsia="仿宋_GB2312" w:cs="仿宋"/>
          <w:bCs/>
          <w:color w:val="000000"/>
          <w:sz w:val="32"/>
          <w:szCs w:val="32"/>
          <w:shd w:val="clear" w:color="auto" w:fill="FFFFFF"/>
        </w:rPr>
        <w:t>《中华人民共和国政府采购法实施条例》第66条、第68条第7款，</w:t>
      </w:r>
      <w:r>
        <w:rPr>
          <w:rFonts w:hint="eastAsia" w:ascii="仿宋_GB2312" w:hAnsi="仿宋" w:eastAsia="仿宋_GB2312" w:cs="仿宋"/>
          <w:color w:val="000000"/>
          <w:sz w:val="32"/>
          <w:szCs w:val="32"/>
        </w:rPr>
        <w:t>我局对你公司拟作出以下处理决定：</w:t>
      </w:r>
      <w:r>
        <w:rPr>
          <w:rFonts w:hint="eastAsia" w:ascii="仿宋_GB2312" w:hAnsi="仿宋" w:eastAsia="仿宋_GB2312" w:cs="仿宋"/>
          <w:bCs/>
          <w:color w:val="000000"/>
          <w:sz w:val="32"/>
          <w:szCs w:val="32"/>
          <w:shd w:val="clear" w:color="auto" w:fill="FFFFFF"/>
        </w:rPr>
        <w:t>责令限期改正、给予警告。</w:t>
      </w:r>
    </w:p>
    <w:p>
      <w:pPr>
        <w:spacing w:line="560" w:lineRule="exact"/>
        <w:rPr>
          <w:rFonts w:hint="default" w:ascii="黑体" w:hAnsi="黑体" w:eastAsia="黑体" w:cs="黑体"/>
          <w:sz w:val="32"/>
          <w:szCs w:val="32"/>
          <w:lang w:val="en-US" w:eastAsia="zh-CN"/>
        </w:rPr>
      </w:pPr>
      <w:r>
        <w:rPr>
          <w:rFonts w:hint="eastAsia" w:ascii="黑体" w:hAnsi="黑体" w:eastAsia="黑体" w:cs="黑体"/>
          <w:color w:val="000000"/>
          <w:sz w:val="32"/>
          <w:szCs w:val="32"/>
          <w:lang w:val="en-US" w:eastAsia="zh-CN"/>
        </w:rPr>
        <w:t>六、其他补充事宜</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本决定送达之日起生效。如你</w:t>
      </w:r>
      <w:r>
        <w:rPr>
          <w:rFonts w:hint="eastAsia" w:ascii="仿宋_GB2312" w:hAnsi="仿宋_GB2312" w:eastAsia="仿宋_GB2312" w:cs="仿宋_GB2312"/>
          <w:color w:val="000000"/>
          <w:sz w:val="32"/>
          <w:szCs w:val="32"/>
          <w:lang w:val="en-US" w:eastAsia="zh-CN"/>
        </w:rPr>
        <w:t>单位</w:t>
      </w:r>
      <w:r>
        <w:rPr>
          <w:rFonts w:hint="eastAsia" w:ascii="仿宋_GB2312" w:hAnsi="仿宋_GB2312" w:eastAsia="仿宋_GB2312" w:cs="仿宋_GB2312"/>
          <w:color w:val="000000"/>
          <w:sz w:val="32"/>
          <w:szCs w:val="32"/>
        </w:rPr>
        <w:t>不服本处罚决定，可在收到本决定书之日起60日内申请行政复议或者6个月内提起行政诉讼，复议或者诉讼期间本决定照常执行。</w:t>
      </w:r>
    </w:p>
    <w:p>
      <w:pPr>
        <w:spacing w:line="560" w:lineRule="exact"/>
        <w:rPr>
          <w:rFonts w:hint="eastAsia" w:ascii="仿宋_GB2312" w:hAnsi="仿宋" w:eastAsia="仿宋_GB2312" w:cs="仿宋"/>
          <w:bCs/>
          <w:color w:val="000000"/>
          <w:sz w:val="32"/>
          <w:szCs w:val="32"/>
          <w:shd w:val="clear" w:color="auto" w:fill="FFFFFF"/>
        </w:rPr>
      </w:pPr>
    </w:p>
    <w:p>
      <w:pPr>
        <w:spacing w:line="560" w:lineRule="exact"/>
        <w:ind w:firstLine="5760" w:firstLineChars="1800"/>
        <w:rPr>
          <w:rFonts w:hint="eastAsia" w:ascii="仿宋_GB2312" w:hAnsi="仿宋" w:eastAsia="仿宋_GB2312" w:cs="仿宋"/>
          <w:bCs/>
          <w:color w:val="000000"/>
          <w:sz w:val="32"/>
          <w:szCs w:val="32"/>
          <w:shd w:val="clear" w:color="auto" w:fill="FFFFFF"/>
        </w:rPr>
      </w:pPr>
    </w:p>
    <w:p>
      <w:pPr>
        <w:spacing w:line="560" w:lineRule="exact"/>
        <w:ind w:firstLine="5760" w:firstLineChars="1800"/>
        <w:rPr>
          <w:rFonts w:ascii="仿宋_GB2312" w:hAnsi="仿宋" w:eastAsia="仿宋_GB2312" w:cs="仿宋"/>
          <w:bCs/>
          <w:color w:val="000000"/>
          <w:sz w:val="32"/>
          <w:szCs w:val="32"/>
          <w:shd w:val="clear" w:color="auto" w:fill="FFFFFF"/>
        </w:rPr>
      </w:pPr>
      <w:r>
        <w:rPr>
          <w:rFonts w:hint="eastAsia" w:ascii="仿宋_GB2312" w:hAnsi="仿宋" w:eastAsia="仿宋_GB2312" w:cs="仿宋"/>
          <w:bCs/>
          <w:color w:val="000000"/>
          <w:sz w:val="32"/>
          <w:szCs w:val="32"/>
          <w:shd w:val="clear" w:color="auto" w:fill="FFFFFF"/>
        </w:rPr>
        <w:t xml:space="preserve">安福县财政局 </w:t>
      </w:r>
    </w:p>
    <w:p>
      <w:pPr>
        <w:ind w:firstLine="5440" w:firstLineChars="1700"/>
        <w:rPr>
          <w:rFonts w:hint="eastAsia" w:ascii="仿宋_GB2312" w:hAnsi="仿宋_GB2312" w:eastAsia="仿宋_GB2312" w:cs="仿宋_GB2312"/>
          <w:color w:val="000000"/>
          <w:sz w:val="32"/>
          <w:szCs w:val="32"/>
          <w:lang w:eastAsia="zh-CN"/>
        </w:rPr>
      </w:pPr>
      <w:r>
        <w:rPr>
          <w:rFonts w:hint="eastAsia" w:ascii="仿宋_GB2312" w:hAnsi="仿宋" w:eastAsia="仿宋_GB2312" w:cs="仿宋"/>
          <w:bCs/>
          <w:color w:val="000000"/>
          <w:sz w:val="32"/>
          <w:szCs w:val="32"/>
          <w:shd w:val="clear" w:color="auto" w:fill="FFFFFF"/>
        </w:rPr>
        <w:t xml:space="preserve"> 2024年3月5日</w:t>
      </w:r>
    </w:p>
    <w:p>
      <w:pPr>
        <w:pStyle w:val="2"/>
        <w:widowControl/>
        <w:shd w:val="clear" w:color="auto" w:fill="FFFFFF"/>
        <w:spacing w:beforeAutospacing="0" w:afterAutospacing="0" w:line="560" w:lineRule="exact"/>
        <w:ind w:firstLine="640" w:firstLineChars="200"/>
        <w:jc w:val="both"/>
        <w:rPr>
          <w:rFonts w:hint="eastAsia" w:ascii="仿宋_GB2312" w:hAnsi="仿宋" w:eastAsia="仿宋_GB2312" w:cs="仿宋"/>
          <w:bCs/>
          <w:color w:val="000000"/>
          <w:sz w:val="32"/>
          <w:szCs w:val="32"/>
          <w:shd w:val="clear" w:color="auto" w:fill="FFFFFF"/>
        </w:rPr>
      </w:pPr>
      <w:bookmarkStart w:id="0" w:name="_GoBack"/>
      <w:bookmarkEnd w:id="0"/>
    </w:p>
    <w:p>
      <w:pPr>
        <w:rPr>
          <w:rFonts w:hint="eastAsia" w:ascii="仿宋_GB2312" w:hAnsi="仿宋" w:eastAsia="仿宋_GB2312" w:cs="仿宋"/>
          <w:bCs/>
          <w:color w:val="000000"/>
          <w:kern w:val="2"/>
          <w:sz w:val="32"/>
          <w:szCs w:val="32"/>
          <w:shd w:val="clear" w:color="auto"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2NzRlNDk0YWZkYTY3Y2RhMDc1NGYyNjY0OWJhNzYifQ=="/>
  </w:docVars>
  <w:rsids>
    <w:rsidRoot w:val="533176F0"/>
    <w:rsid w:val="533176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2024-04-29T01:51:00Z</dcterms:created>
  <dc:creator>自由行走的花</dc:creator>
  <cp:lastModifiedBy>自由行走的花</cp:lastModifiedBy>
  <dcterms:modified xsi:type="dcterms:W3CDTF">2024-04-29T01:54:36Z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99399BBC0836438F8F5C78D6DE3EE7C5_11</vt:lpwstr>
  </property>
</Properties>
</file>