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A064E">
      <w:pPr>
        <w:pageBreakBefore w:val="0"/>
        <w:kinsoku/>
        <w:wordWrap/>
        <w:overflowPunct/>
        <w:topLinePunct w:val="0"/>
        <w:bidi w:val="0"/>
        <w:snapToGrid/>
        <w:spacing w:line="530" w:lineRule="exact"/>
        <w:ind w:firstLine="2880" w:firstLineChars="900"/>
        <w:textAlignment w:val="auto"/>
        <w:rPr>
          <w:rFonts w:ascii="黑体" w:hAnsi="黑体" w:eastAsia="黑体"/>
          <w:color w:val="FF0000"/>
          <w:sz w:val="32"/>
          <w:szCs w:val="32"/>
        </w:rPr>
      </w:pPr>
      <w:r>
        <w:rPr>
          <w:rFonts w:hint="eastAsia" w:ascii="黑体" w:hAnsi="黑体" w:eastAsia="黑体"/>
          <w:color w:val="FF0000"/>
          <w:sz w:val="32"/>
          <w:szCs w:val="32"/>
        </w:rPr>
        <w:t>东财购</w:t>
      </w:r>
      <w:r>
        <w:rPr>
          <w:rFonts w:hint="eastAsia" w:ascii="黑体" w:hAnsi="黑体" w:eastAsia="黑体"/>
          <w:color w:val="FF0000"/>
          <w:sz w:val="32"/>
          <w:szCs w:val="32"/>
          <w:lang w:eastAsia="zh-CN"/>
        </w:rPr>
        <w:t>罚</w:t>
      </w:r>
      <w:r>
        <w:rPr>
          <w:rFonts w:hint="eastAsia" w:ascii="黑体" w:hAnsi="黑体" w:eastAsia="黑体"/>
          <w:color w:val="FF0000"/>
          <w:sz w:val="32"/>
          <w:szCs w:val="32"/>
        </w:rPr>
        <w:t>【202</w:t>
      </w:r>
      <w:r>
        <w:rPr>
          <w:rFonts w:hint="eastAsia" w:ascii="黑体" w:hAnsi="黑体" w:eastAsia="黑体"/>
          <w:color w:val="FF0000"/>
          <w:sz w:val="32"/>
          <w:szCs w:val="32"/>
          <w:lang w:val="en-US" w:eastAsia="zh-CN"/>
        </w:rPr>
        <w:t>4</w:t>
      </w:r>
      <w:r>
        <w:rPr>
          <w:rFonts w:hint="eastAsia" w:ascii="黑体" w:hAnsi="黑体" w:eastAsia="黑体"/>
          <w:color w:val="FF0000"/>
          <w:sz w:val="32"/>
          <w:szCs w:val="32"/>
        </w:rPr>
        <w:t>】</w:t>
      </w:r>
      <w:r>
        <w:rPr>
          <w:rFonts w:hint="eastAsia" w:ascii="黑体" w:hAnsi="黑体" w:eastAsia="黑体"/>
          <w:color w:val="FF0000"/>
          <w:sz w:val="32"/>
          <w:szCs w:val="32"/>
          <w:lang w:val="en-US" w:eastAsia="zh-CN"/>
        </w:rPr>
        <w:t>5</w:t>
      </w:r>
      <w:r>
        <w:rPr>
          <w:rFonts w:hint="eastAsia" w:ascii="黑体" w:hAnsi="黑体" w:eastAsia="黑体"/>
          <w:color w:val="FF0000"/>
          <w:sz w:val="32"/>
          <w:szCs w:val="32"/>
        </w:rPr>
        <w:t>号</w:t>
      </w:r>
    </w:p>
    <w:p w14:paraId="2E3ED865">
      <w:pPr>
        <w:pStyle w:val="2"/>
        <w:pageBreakBefore w:val="0"/>
        <w:kinsoku/>
        <w:wordWrap/>
        <w:overflowPunct/>
        <w:topLinePunct w:val="0"/>
        <w:autoSpaceDE w:val="0"/>
        <w:autoSpaceDN w:val="0"/>
        <w:bidi w:val="0"/>
        <w:adjustRightInd w:val="0"/>
        <w:snapToGrid/>
        <w:spacing w:before="0" w:after="0" w:line="530" w:lineRule="exact"/>
        <w:jc w:val="center"/>
        <w:textAlignment w:val="auto"/>
        <w:rPr>
          <w:rFonts w:hint="eastAsia" w:ascii="黑体" w:hAnsi="黑体" w:eastAsia="黑体"/>
          <w:color w:val="FF0000"/>
          <w:lang w:val="en-US" w:eastAsia="zh-CN"/>
        </w:rPr>
      </w:pPr>
      <w:r>
        <w:rPr>
          <w:rFonts w:hint="eastAsia" w:ascii="黑体" w:hAnsi="黑体" w:eastAsia="黑体"/>
          <w:color w:val="FF0000"/>
          <w:lang w:eastAsia="zh-CN"/>
        </w:rPr>
        <w:t>政府采购</w:t>
      </w:r>
      <w:r>
        <w:rPr>
          <w:rFonts w:hint="eastAsia" w:ascii="黑体" w:hAnsi="黑体" w:eastAsia="黑体"/>
          <w:color w:val="FF0000"/>
        </w:rPr>
        <w:t>监督检查处理</w:t>
      </w:r>
      <w:r>
        <w:rPr>
          <w:rFonts w:hint="eastAsia" w:ascii="黑体" w:hAnsi="黑体" w:eastAsia="黑体"/>
          <w:color w:val="FF0000"/>
          <w:lang w:val="en-US" w:eastAsia="zh-CN"/>
        </w:rPr>
        <w:t>决定公告</w:t>
      </w:r>
      <w:bookmarkStart w:id="0" w:name="_GoBack"/>
      <w:bookmarkEnd w:id="0"/>
    </w:p>
    <w:p w14:paraId="75021075">
      <w:pPr>
        <w:pageBreakBefore w:val="0"/>
        <w:kinsoku/>
        <w:wordWrap/>
        <w:overflowPunct/>
        <w:topLinePunct w:val="0"/>
        <w:bidi w:val="0"/>
        <w:snapToGrid/>
        <w:spacing w:line="530" w:lineRule="exact"/>
        <w:textAlignment w:val="auto"/>
        <w:rPr>
          <w:rFonts w:ascii="黑体" w:hAnsi="黑体" w:eastAsia="黑体"/>
          <w:sz w:val="30"/>
          <w:szCs w:val="30"/>
        </w:rPr>
      </w:pPr>
      <w:r>
        <w:rPr>
          <w:rFonts w:hint="eastAsia"/>
        </w:rPr>
        <w:t xml:space="preserve">                       </w:t>
      </w:r>
    </w:p>
    <w:p w14:paraId="1771782D">
      <w:pPr>
        <w:keepNext w:val="0"/>
        <w:keepLines w:val="0"/>
        <w:pageBreakBefore w:val="0"/>
        <w:kinsoku/>
        <w:wordWrap/>
        <w:overflowPunct/>
        <w:topLinePunct w:val="0"/>
        <w:autoSpaceDN/>
        <w:bidi w:val="0"/>
        <w:adjustRightInd/>
        <w:snapToGrid/>
        <w:spacing w:line="530" w:lineRule="exact"/>
        <w:ind w:firstLine="640" w:firstLineChars="200"/>
        <w:textAlignment w:val="auto"/>
        <w:rPr>
          <w:rFonts w:ascii="仿宋" w:hAnsi="仿宋" w:eastAsia="仿宋"/>
          <w:sz w:val="28"/>
          <w:szCs w:val="28"/>
          <w:u w:val="single"/>
        </w:rPr>
      </w:pPr>
      <w:r>
        <w:rPr>
          <w:rFonts w:hint="eastAsia" w:ascii="黑体" w:hAnsi="黑体" w:eastAsia="黑体"/>
          <w:sz w:val="32"/>
          <w:szCs w:val="32"/>
        </w:rPr>
        <w:t>一、项目编号</w:t>
      </w:r>
      <w:r>
        <w:rPr>
          <w:rFonts w:hint="eastAsia" w:ascii="黑体" w:hAnsi="黑体" w:eastAsia="黑体"/>
          <w:sz w:val="32"/>
          <w:szCs w:val="32"/>
          <w:lang w:val="en-US" w:eastAsia="zh-CN"/>
        </w:rPr>
        <w:t>:</w:t>
      </w:r>
      <w:r>
        <w:rPr>
          <w:rFonts w:hint="eastAsia" w:ascii="仿宋_GB2312" w:hAnsi="仿宋_GB2312" w:eastAsia="仿宋_GB2312" w:cs="仿宋_GB2312"/>
          <w:sz w:val="32"/>
          <w:szCs w:val="32"/>
          <w:u w:val="single"/>
          <w:lang w:eastAsia="zh-CN"/>
        </w:rPr>
        <w:t>FZHX2023-DX-003-03</w:t>
      </w:r>
    </w:p>
    <w:p w14:paraId="110A6B25">
      <w:pPr>
        <w:keepNext w:val="0"/>
        <w:keepLines w:val="0"/>
        <w:pageBreakBefore w:val="0"/>
        <w:kinsoku/>
        <w:wordWrap/>
        <w:overflowPunct/>
        <w:topLinePunct w:val="0"/>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sz w:val="32"/>
          <w:szCs w:val="32"/>
        </w:rPr>
        <w:t>二、项目名称：</w:t>
      </w:r>
      <w:r>
        <w:rPr>
          <w:rFonts w:hint="eastAsia" w:ascii="仿宋_GB2312" w:hAnsi="仿宋_GB2312" w:eastAsia="仿宋_GB2312" w:cs="仿宋_GB2312"/>
          <w:sz w:val="32"/>
          <w:szCs w:val="32"/>
          <w:u w:val="single"/>
          <w:lang w:eastAsia="zh-CN"/>
        </w:rPr>
        <w:t>东乡区第三次土壤普查成果汇总采购项目</w:t>
      </w:r>
    </w:p>
    <w:p w14:paraId="51D298A7">
      <w:pPr>
        <w:keepNext w:val="0"/>
        <w:keepLines w:val="0"/>
        <w:pageBreakBefore w:val="0"/>
        <w:kinsoku/>
        <w:wordWrap/>
        <w:overflowPunct/>
        <w:topLinePunct w:val="0"/>
        <w:autoSpaceDN/>
        <w:bidi w:val="0"/>
        <w:adjustRightInd/>
        <w:snapToGrid/>
        <w:spacing w:line="53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三、相关当事人</w:t>
      </w:r>
    </w:p>
    <w:p w14:paraId="6AE0E864">
      <w:pPr>
        <w:keepNext w:val="0"/>
        <w:keepLines w:val="0"/>
        <w:pageBreakBefore w:val="0"/>
        <w:kinsoku/>
        <w:wordWrap/>
        <w:overflowPunct/>
        <w:topLinePunct w:val="0"/>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u w:val="single"/>
          <w:lang w:eastAsia="zh-CN"/>
        </w:rPr>
        <w:t>抚州市弘兴招投标代理咨询有限公司</w:t>
      </w:r>
    </w:p>
    <w:p w14:paraId="6A7A2952">
      <w:pPr>
        <w:keepNext w:val="0"/>
        <w:keepLines w:val="0"/>
        <w:pageBreakBefore w:val="0"/>
        <w:kinsoku/>
        <w:wordWrap/>
        <w:overflowPunct/>
        <w:topLinePunct w:val="0"/>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 xml:space="preserve">地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址：</w:t>
      </w:r>
      <w:r>
        <w:rPr>
          <w:rFonts w:hint="eastAsia" w:ascii="仿宋_GB2312" w:hAnsi="仿宋_GB2312" w:eastAsia="仿宋_GB2312" w:cs="仿宋_GB2312"/>
          <w:sz w:val="32"/>
          <w:szCs w:val="32"/>
          <w:u w:val="single"/>
          <w:lang w:val="en-US" w:eastAsia="zh-CN"/>
        </w:rPr>
        <w:t>江西省抚州市城市原墅12E</w:t>
      </w:r>
    </w:p>
    <w:p w14:paraId="535D4F12">
      <w:pPr>
        <w:keepNext w:val="0"/>
        <w:keepLines w:val="0"/>
        <w:pageBreakBefore w:val="0"/>
        <w:kinsoku/>
        <w:wordWrap/>
        <w:overflowPunct/>
        <w:topLinePunct w:val="0"/>
        <w:autoSpaceDN/>
        <w:bidi w:val="0"/>
        <w:adjustRightInd/>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四、基本情况</w:t>
      </w:r>
    </w:p>
    <w:p w14:paraId="4C7B43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333333"/>
          <w:sz w:val="32"/>
          <w:szCs w:val="32"/>
        </w:rPr>
        <w:t>本机</w:t>
      </w:r>
      <w:r>
        <w:rPr>
          <w:rFonts w:hint="eastAsia" w:ascii="仿宋_GB2312" w:hAnsi="仿宋_GB2312" w:eastAsia="仿宋_GB2312" w:cs="仿宋_GB2312"/>
          <w:color w:val="333333"/>
          <w:sz w:val="32"/>
          <w:szCs w:val="32"/>
          <w:lang w:eastAsia="zh-CN"/>
        </w:rPr>
        <w:t>关</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color w:val="auto"/>
          <w:sz w:val="32"/>
          <w:szCs w:val="32"/>
          <w:lang w:eastAsia="zh-CN"/>
        </w:rPr>
        <w:t>《中华人民共和国政府采购法》和《抚州市财政局关于进一步促进政府采购公平竞争优化营商环境</w:t>
      </w:r>
      <w:r>
        <w:rPr>
          <w:rFonts w:hint="eastAsia" w:ascii="仿宋_GB2312" w:hAnsi="仿宋_GB2312" w:eastAsia="仿宋_GB2312" w:cs="仿宋_GB2312"/>
          <w:color w:val="auto"/>
          <w:sz w:val="32"/>
          <w:szCs w:val="32"/>
          <w:lang w:val="en-US" w:eastAsia="zh-CN"/>
        </w:rPr>
        <w:t>的通知</w:t>
      </w:r>
      <w:r>
        <w:rPr>
          <w:rFonts w:hint="eastAsia" w:ascii="仿宋_GB2312" w:hAnsi="仿宋_GB2312" w:eastAsia="仿宋_GB2312" w:cs="仿宋_GB2312"/>
          <w:color w:val="auto"/>
          <w:sz w:val="32"/>
          <w:szCs w:val="32"/>
          <w:lang w:eastAsia="zh-CN"/>
        </w:rPr>
        <w:t>》（抚财购【</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24号</w:t>
      </w:r>
      <w:r>
        <w:rPr>
          <w:rFonts w:hint="eastAsia" w:ascii="仿宋_GB2312" w:hAnsi="仿宋_GB2312" w:eastAsia="仿宋_GB2312" w:cs="仿宋_GB2312"/>
          <w:color w:val="auto"/>
          <w:sz w:val="32"/>
          <w:szCs w:val="32"/>
          <w:lang w:eastAsia="zh-CN"/>
        </w:rPr>
        <w:t>）规定，</w:t>
      </w:r>
      <w:r>
        <w:rPr>
          <w:rFonts w:hint="eastAsia" w:ascii="仿宋_GB2312" w:hAnsi="仿宋_GB2312" w:eastAsia="仿宋_GB2312" w:cs="仿宋_GB2312"/>
          <w:b/>
          <w:bCs/>
          <w:color w:val="auto"/>
          <w:sz w:val="32"/>
          <w:szCs w:val="32"/>
          <w:lang w:val="en-US" w:eastAsia="zh-CN"/>
        </w:rPr>
        <w:t>日常监督检查发现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对当事人（</w:t>
      </w:r>
      <w:r>
        <w:rPr>
          <w:rFonts w:hint="eastAsia" w:ascii="仿宋_GB2312" w:hAnsi="仿宋_GB2312" w:eastAsia="仿宋_GB2312" w:cs="仿宋_GB2312"/>
          <w:sz w:val="32"/>
          <w:szCs w:val="32"/>
          <w:lang w:eastAsia="zh-CN"/>
        </w:rPr>
        <w:t>抚州市弘兴招投标代理咨询有限公司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东乡区第三次土壤普查成果汇总采购项目（项目编号：FZHX2023-DX-003-03，非涉密项目）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未公告中标、成交供应商的评审总得分，违反《政府采购信息发布管理办法》第十六条和《江西省财政厅办公室转发财政部关于进一步提高政府采购透明度和采购效率相关事项的通知》（赣财办购【</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2号</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color w:val="auto"/>
          <w:sz w:val="32"/>
          <w:szCs w:val="32"/>
          <w:lang w:eastAsia="zh-CN"/>
        </w:rPr>
        <w:t>《抚州市财政局关于进一步促进政府采购公平竞争优化营商环境</w:t>
      </w:r>
      <w:r>
        <w:rPr>
          <w:rFonts w:hint="eastAsia" w:ascii="仿宋_GB2312" w:hAnsi="仿宋_GB2312" w:eastAsia="仿宋_GB2312" w:cs="仿宋_GB2312"/>
          <w:color w:val="auto"/>
          <w:sz w:val="32"/>
          <w:szCs w:val="32"/>
          <w:lang w:val="en-US" w:eastAsia="zh-CN"/>
        </w:rPr>
        <w:t>的通知</w:t>
      </w:r>
      <w:r>
        <w:rPr>
          <w:rFonts w:hint="eastAsia" w:ascii="仿宋_GB2312" w:hAnsi="仿宋_GB2312" w:eastAsia="仿宋_GB2312" w:cs="仿宋_GB2312"/>
          <w:color w:val="auto"/>
          <w:sz w:val="32"/>
          <w:szCs w:val="32"/>
          <w:lang w:eastAsia="zh-CN"/>
        </w:rPr>
        <w:t>》（抚财购【</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24号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eastAsia="zh-CN"/>
        </w:rPr>
        <w:t>规定。</w:t>
      </w:r>
    </w:p>
    <w:p w14:paraId="7108544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上述事实，</w:t>
      </w:r>
      <w:r>
        <w:rPr>
          <w:rFonts w:hint="eastAsia" w:ascii="仿宋_GB2312" w:hAnsi="仿宋_GB2312" w:eastAsia="仿宋_GB2312" w:cs="仿宋_GB2312"/>
          <w:kern w:val="0"/>
          <w:sz w:val="32"/>
          <w:szCs w:val="32"/>
          <w:lang w:val="en-US" w:eastAsia="zh-CN" w:bidi="ar-SA"/>
        </w:rPr>
        <w:t>2024年6月17日下午，</w:t>
      </w:r>
      <w:r>
        <w:rPr>
          <w:rFonts w:hint="eastAsia" w:ascii="仿宋_GB2312" w:hAnsi="仿宋_GB2312" w:eastAsia="仿宋_GB2312" w:cs="仿宋_GB2312"/>
          <w:sz w:val="32"/>
          <w:szCs w:val="32"/>
          <w:lang w:val="en-US" w:eastAsia="zh-CN"/>
        </w:rPr>
        <w:t>通过打电话向</w:t>
      </w:r>
      <w:r>
        <w:rPr>
          <w:rFonts w:hint="eastAsia" w:ascii="仿宋_GB2312" w:hAnsi="仿宋_GB2312" w:eastAsia="仿宋_GB2312" w:cs="仿宋_GB2312"/>
          <w:sz w:val="32"/>
          <w:szCs w:val="32"/>
          <w:lang w:eastAsia="zh-CN"/>
        </w:rPr>
        <w:t>抚州市弘兴招投标代理咨询有限公司工作人员黄某告知并得已确认，</w:t>
      </w:r>
      <w:r>
        <w:rPr>
          <w:rFonts w:hint="eastAsia" w:ascii="仿宋_GB2312" w:hAnsi="仿宋_GB2312" w:eastAsia="仿宋_GB2312" w:cs="仿宋_GB2312"/>
          <w:kern w:val="0"/>
          <w:sz w:val="32"/>
          <w:szCs w:val="32"/>
          <w:lang w:val="en-US" w:eastAsia="zh-CN" w:bidi="ar-SA"/>
        </w:rPr>
        <w:t>证据材料</w:t>
      </w:r>
      <w:r>
        <w:rPr>
          <w:rFonts w:hint="eastAsia" w:ascii="仿宋_GB2312" w:hAnsi="仿宋_GB2312" w:eastAsia="仿宋_GB2312" w:cs="仿宋_GB2312"/>
          <w:sz w:val="32"/>
          <w:szCs w:val="32"/>
          <w:lang w:val="en-US" w:eastAsia="zh-CN"/>
        </w:rPr>
        <w:t>有江西省公共资源交易网相关项目采购合同备案及结果公示截图为证。</w:t>
      </w:r>
    </w:p>
    <w:p w14:paraId="6BB1D291">
      <w:pPr>
        <w:keepNext w:val="0"/>
        <w:keepLines w:val="0"/>
        <w:pageBreakBefore w:val="0"/>
        <w:kinsoku/>
        <w:wordWrap/>
        <w:overflowPunct/>
        <w:topLinePunct w:val="0"/>
        <w:autoSpaceDN/>
        <w:bidi w:val="0"/>
        <w:adjustRightInd/>
        <w:snapToGrid/>
        <w:spacing w:line="530" w:lineRule="exact"/>
        <w:ind w:firstLine="640" w:firstLineChars="200"/>
        <w:textAlignment w:val="auto"/>
        <w:rPr>
          <w:rFonts w:ascii="黑体" w:hAnsi="黑体" w:eastAsia="黑体"/>
          <w:sz w:val="32"/>
          <w:szCs w:val="32"/>
        </w:rPr>
      </w:pPr>
      <w:r>
        <w:rPr>
          <w:rFonts w:hint="eastAsia" w:ascii="黑体" w:hAnsi="黑体" w:eastAsia="黑体"/>
          <w:sz w:val="32"/>
          <w:szCs w:val="32"/>
        </w:rPr>
        <w:t>五、处理依据及结果</w:t>
      </w:r>
    </w:p>
    <w:p w14:paraId="4F8FF0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2024年7月10日，本机关依法向当事人送达了《政府采购监督检查处理告知书》（东财购告</w:t>
      </w:r>
      <w:r>
        <w:rPr>
          <w:rFonts w:hint="eastAsia" w:ascii="仿宋_GB2312" w:hAnsi="仿宋_GB2312" w:eastAsia="仿宋_GB2312" w:cs="仿宋_GB2312"/>
          <w:b w:val="0"/>
          <w:bCs w:val="0"/>
          <w:sz w:val="32"/>
          <w:szCs w:val="32"/>
          <w:lang w:val="en-US" w:eastAsia="zh-CN"/>
        </w:rPr>
        <w:t>【2024】</w:t>
      </w:r>
      <w:r>
        <w:rPr>
          <w:rFonts w:hint="eastAsia" w:ascii="仿宋_GB2312" w:hAnsi="仿宋_GB2312" w:eastAsia="仿宋_GB2312" w:cs="仿宋_GB2312"/>
          <w:sz w:val="32"/>
          <w:szCs w:val="32"/>
          <w:lang w:val="en-US" w:eastAsia="zh-CN"/>
        </w:rPr>
        <w:t>5号），告知了拟作出的行政处罚内容及事实、依据和拟作出的行政处罚事项，并告知依法享有的陈述和申辩权力。行政处罚告知规定期间未收到当事人的陈述和申辩，视为放弃陈述和申辩权力，</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《中华人民共和国政府采购法》</w:t>
      </w:r>
      <w:r>
        <w:rPr>
          <w:rFonts w:hint="eastAsia" w:ascii="仿宋_GB2312" w:hAnsi="仿宋_GB2312" w:eastAsia="仿宋_GB2312" w:cs="仿宋_GB2312"/>
          <w:color w:val="auto"/>
          <w:sz w:val="32"/>
          <w:szCs w:val="32"/>
          <w:lang w:eastAsia="zh-CN"/>
        </w:rPr>
        <w:t>第十三条、第七十一条、第七十八条，</w:t>
      </w:r>
      <w:r>
        <w:rPr>
          <w:rFonts w:hint="eastAsia" w:ascii="仿宋_GB2312" w:hAnsi="仿宋_GB2312" w:eastAsia="仿宋_GB2312" w:cs="仿宋_GB2312"/>
          <w:color w:val="auto"/>
          <w:sz w:val="32"/>
          <w:szCs w:val="32"/>
        </w:rPr>
        <w:t>《中华人民共和国政府采购法</w:t>
      </w:r>
      <w:r>
        <w:rPr>
          <w:rFonts w:hint="eastAsia" w:ascii="仿宋_GB2312" w:hAnsi="仿宋_GB2312" w:eastAsia="仿宋_GB2312" w:cs="仿宋_GB2312"/>
          <w:color w:val="auto"/>
          <w:sz w:val="32"/>
          <w:szCs w:val="32"/>
          <w:lang w:eastAsia="zh-CN"/>
        </w:rPr>
        <w:t>实施条例</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六十八条</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、《政府采购信息发布管理办法》（财政部令第</w:t>
      </w:r>
      <w:r>
        <w:rPr>
          <w:rFonts w:hint="eastAsia" w:ascii="仿宋_GB2312" w:hAnsi="仿宋_GB2312" w:eastAsia="仿宋_GB2312" w:cs="仿宋_GB2312"/>
          <w:color w:val="auto"/>
          <w:sz w:val="32"/>
          <w:szCs w:val="32"/>
          <w:lang w:val="en-US" w:eastAsia="zh-CN"/>
        </w:rPr>
        <w:t>101号</w:t>
      </w:r>
      <w:r>
        <w:rPr>
          <w:rFonts w:hint="eastAsia" w:ascii="仿宋_GB2312" w:hAnsi="仿宋_GB2312" w:eastAsia="仿宋_GB2312" w:cs="仿宋_GB2312"/>
          <w:color w:val="auto"/>
          <w:sz w:val="32"/>
          <w:szCs w:val="32"/>
          <w:lang w:eastAsia="zh-CN"/>
        </w:rPr>
        <w:t>）第十六条</w:t>
      </w:r>
      <w:r>
        <w:rPr>
          <w:rFonts w:hint="eastAsia" w:ascii="仿宋_GB2312" w:hAnsi="仿宋_GB2312" w:eastAsia="仿宋_GB2312" w:cs="仿宋_GB2312"/>
          <w:color w:val="auto"/>
          <w:sz w:val="32"/>
          <w:szCs w:val="32"/>
        </w:rPr>
        <w:t>规定，</w:t>
      </w:r>
      <w:r>
        <w:rPr>
          <w:rFonts w:hint="eastAsia" w:ascii="仿宋_GB2312" w:hAnsi="仿宋_GB2312" w:eastAsia="仿宋_GB2312" w:cs="仿宋_GB2312"/>
          <w:color w:val="auto"/>
          <w:sz w:val="32"/>
          <w:szCs w:val="32"/>
          <w:lang w:eastAsia="zh-CN"/>
        </w:rPr>
        <w:t>经集体审议决定：</w:t>
      </w:r>
      <w:r>
        <w:rPr>
          <w:rFonts w:hint="eastAsia" w:ascii="仿宋_GB2312" w:hAnsi="仿宋_GB2312" w:eastAsia="仿宋_GB2312" w:cs="仿宋_GB2312"/>
          <w:color w:val="auto"/>
          <w:sz w:val="32"/>
          <w:szCs w:val="32"/>
        </w:rPr>
        <w:t>责令</w:t>
      </w:r>
      <w:r>
        <w:rPr>
          <w:rFonts w:hint="eastAsia" w:ascii="仿宋_GB2312" w:hAnsi="仿宋_GB2312" w:eastAsia="仿宋_GB2312" w:cs="仿宋_GB2312"/>
          <w:sz w:val="32"/>
          <w:szCs w:val="32"/>
          <w:lang w:eastAsia="zh-CN"/>
        </w:rPr>
        <w:t>抚州市弘兴招投标代理咨询有限公司</w:t>
      </w:r>
      <w:r>
        <w:rPr>
          <w:rFonts w:hint="eastAsia" w:ascii="仿宋_GB2312" w:hAnsi="仿宋_GB2312" w:eastAsia="仿宋_GB2312" w:cs="仿宋_GB2312"/>
          <w:color w:val="auto"/>
          <w:sz w:val="32"/>
          <w:szCs w:val="32"/>
          <w:lang w:eastAsia="zh-CN"/>
        </w:rPr>
        <w:t>限期</w:t>
      </w:r>
      <w:r>
        <w:rPr>
          <w:rFonts w:hint="eastAsia" w:ascii="仿宋_GB2312" w:hAnsi="仿宋_GB2312" w:eastAsia="仿宋_GB2312" w:cs="仿宋_GB2312"/>
          <w:color w:val="auto"/>
          <w:sz w:val="32"/>
          <w:szCs w:val="32"/>
          <w:lang w:val="en-US" w:eastAsia="zh-CN"/>
        </w:rPr>
        <w:t>改正、</w:t>
      </w:r>
      <w:r>
        <w:rPr>
          <w:rFonts w:hint="eastAsia" w:ascii="仿宋_GB2312" w:hAnsi="仿宋_GB2312" w:eastAsia="仿宋_GB2312" w:cs="仿宋_GB2312"/>
          <w:color w:val="auto"/>
          <w:sz w:val="32"/>
          <w:szCs w:val="32"/>
          <w:lang w:eastAsia="zh-CN"/>
        </w:rPr>
        <w:t>给予警告，并予以通报</w:t>
      </w:r>
      <w:r>
        <w:rPr>
          <w:rFonts w:hint="eastAsia" w:ascii="仿宋_GB2312" w:hAnsi="仿宋_GB2312" w:eastAsia="仿宋_GB2312" w:cs="仿宋_GB2312"/>
          <w:color w:val="auto"/>
          <w:sz w:val="32"/>
          <w:szCs w:val="32"/>
          <w:lang w:val="en-US" w:eastAsia="zh-CN"/>
        </w:rPr>
        <w:t>。</w:t>
      </w:r>
    </w:p>
    <w:p w14:paraId="70FC71DA">
      <w:pPr>
        <w:keepNext w:val="0"/>
        <w:keepLines w:val="0"/>
        <w:pageBreakBefore w:val="0"/>
        <w:kinsoku/>
        <w:wordWrap/>
        <w:overflowPunct/>
        <w:topLinePunct w:val="0"/>
        <w:autoSpaceDN/>
        <w:bidi w:val="0"/>
        <w:adjustRightInd/>
        <w:snapToGrid/>
        <w:spacing w:line="530" w:lineRule="exact"/>
        <w:ind w:firstLine="640" w:firstLineChars="200"/>
        <w:textAlignment w:val="auto"/>
        <w:rPr>
          <w:rFonts w:ascii="黑体" w:hAnsi="黑体" w:eastAsia="黑体" w:cs="仿宋"/>
          <w:sz w:val="32"/>
          <w:szCs w:val="32"/>
        </w:rPr>
      </w:pPr>
      <w:r>
        <w:rPr>
          <w:rFonts w:hint="eastAsia" w:ascii="黑体" w:hAnsi="黑体" w:eastAsia="黑体" w:cs="仿宋"/>
          <w:sz w:val="32"/>
          <w:szCs w:val="32"/>
          <w:lang w:eastAsia="zh-CN"/>
        </w:rPr>
        <w:t>六</w:t>
      </w:r>
      <w:r>
        <w:rPr>
          <w:rFonts w:hint="eastAsia" w:ascii="黑体" w:hAnsi="黑体" w:eastAsia="黑体" w:cs="仿宋"/>
          <w:sz w:val="32"/>
          <w:szCs w:val="32"/>
        </w:rPr>
        <w:t>、其他补充事宜</w:t>
      </w:r>
    </w:p>
    <w:p w14:paraId="68F0615B">
      <w:pPr>
        <w:keepNext w:val="0"/>
        <w:keepLines w:val="0"/>
        <w:pageBreakBefore w:val="0"/>
        <w:kinsoku/>
        <w:wordWrap/>
        <w:overflowPunct/>
        <w:topLinePunct w:val="0"/>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如对上述处理决定不服，可以在</w:t>
      </w:r>
      <w:r>
        <w:rPr>
          <w:rFonts w:hint="eastAsia" w:ascii="仿宋_GB2312" w:hAnsi="仿宋_GB2312" w:eastAsia="仿宋_GB2312" w:cs="仿宋_GB2312"/>
          <w:sz w:val="32"/>
          <w:szCs w:val="32"/>
          <w:lang w:eastAsia="zh-CN"/>
        </w:rPr>
        <w:t>收到本处罚决定书之日起</w:t>
      </w:r>
      <w:r>
        <w:rPr>
          <w:rFonts w:hint="eastAsia" w:ascii="仿宋_GB2312" w:hAnsi="仿宋_GB2312" w:eastAsia="仿宋_GB2312" w:cs="仿宋_GB2312"/>
          <w:sz w:val="32"/>
          <w:szCs w:val="32"/>
        </w:rPr>
        <w:t>60日内向抚州市东乡区人民政府申请行政复议，也可</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在6个月内向</w:t>
      </w:r>
      <w:r>
        <w:rPr>
          <w:rFonts w:hint="eastAsia" w:ascii="仿宋_GB2312" w:hAnsi="仿宋_GB2312" w:eastAsia="仿宋_GB2312" w:cs="仿宋_GB2312"/>
          <w:sz w:val="32"/>
          <w:szCs w:val="32"/>
          <w:lang w:val="en-US" w:eastAsia="zh-CN"/>
        </w:rPr>
        <w:t>有管辖权的</w:t>
      </w:r>
      <w:r>
        <w:rPr>
          <w:rFonts w:hint="eastAsia" w:ascii="仿宋_GB2312" w:hAnsi="仿宋_GB2312" w:eastAsia="仿宋_GB2312" w:cs="仿宋_GB2312"/>
          <w:sz w:val="32"/>
          <w:szCs w:val="32"/>
        </w:rPr>
        <w:t>人民法院</w:t>
      </w:r>
      <w:r>
        <w:rPr>
          <w:rFonts w:hint="eastAsia" w:ascii="仿宋_GB2312" w:hAnsi="仿宋_GB2312" w:eastAsia="仿宋_GB2312" w:cs="仿宋_GB2312"/>
          <w:sz w:val="32"/>
          <w:szCs w:val="32"/>
          <w:lang w:eastAsia="zh-CN"/>
        </w:rPr>
        <w:t>直接</w:t>
      </w:r>
      <w:r>
        <w:rPr>
          <w:rFonts w:hint="eastAsia" w:ascii="仿宋_GB2312" w:hAnsi="仿宋_GB2312" w:eastAsia="仿宋_GB2312" w:cs="仿宋_GB2312"/>
          <w:sz w:val="32"/>
          <w:szCs w:val="32"/>
        </w:rPr>
        <w:t>提起行政诉讼。</w:t>
      </w:r>
    </w:p>
    <w:p w14:paraId="262ED192">
      <w:pPr>
        <w:keepNext w:val="0"/>
        <w:keepLines w:val="0"/>
        <w:pageBreakBefore w:val="0"/>
        <w:kinsoku/>
        <w:wordWrap/>
        <w:overflowPunct/>
        <w:topLinePunct w:val="0"/>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14:paraId="05A0ED69">
      <w:pPr>
        <w:keepNext w:val="0"/>
        <w:keepLines w:val="0"/>
        <w:pageBreakBefore w:val="0"/>
        <w:widowControl/>
        <w:kinsoku/>
        <w:wordWrap/>
        <w:overflowPunct/>
        <w:topLinePunct w:val="0"/>
        <w:autoSpaceDE w:val="0"/>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p>
    <w:p w14:paraId="43AA61AB">
      <w:pPr>
        <w:keepNext w:val="0"/>
        <w:keepLines w:val="0"/>
        <w:pageBreakBefore w:val="0"/>
        <w:widowControl/>
        <w:kinsoku/>
        <w:wordWrap/>
        <w:overflowPunct/>
        <w:topLinePunct w:val="0"/>
        <w:bidi w:val="0"/>
        <w:snapToGrid/>
        <w:spacing w:line="520" w:lineRule="exact"/>
        <w:ind w:right="1520" w:firstLine="4160" w:firstLineChars="1300"/>
        <w:textAlignment w:val="auto"/>
        <w:rPr>
          <w:rFonts w:hint="eastAsia" w:ascii="仿宋_GB2312" w:hAnsi="仿宋_GB2312" w:eastAsia="仿宋_GB2312" w:cs="仿宋_GB2312"/>
          <w:sz w:val="32"/>
          <w:szCs w:val="32"/>
          <w:lang w:val="en-US" w:eastAsia="zh-CN"/>
        </w:rPr>
      </w:pPr>
    </w:p>
    <w:p w14:paraId="0C86E9C9">
      <w:pPr>
        <w:keepNext w:val="0"/>
        <w:keepLines w:val="0"/>
        <w:pageBreakBefore w:val="0"/>
        <w:widowControl/>
        <w:kinsoku/>
        <w:wordWrap/>
        <w:overflowPunct/>
        <w:topLinePunct w:val="0"/>
        <w:bidi w:val="0"/>
        <w:snapToGrid/>
        <w:spacing w:line="520" w:lineRule="exact"/>
        <w:ind w:right="1520"/>
        <w:textAlignment w:val="auto"/>
        <w:rPr>
          <w:rFonts w:hint="eastAsia" w:ascii="仿宋_GB2312" w:hAnsi="仿宋_GB2312" w:eastAsia="仿宋_GB2312" w:cs="仿宋_GB2312"/>
          <w:sz w:val="32"/>
          <w:szCs w:val="32"/>
          <w:lang w:val="en-US" w:eastAsia="zh-CN"/>
        </w:rPr>
      </w:pPr>
    </w:p>
    <w:p w14:paraId="7D69F49C">
      <w:pPr>
        <w:keepNext w:val="0"/>
        <w:keepLines w:val="0"/>
        <w:pageBreakBefore w:val="0"/>
        <w:widowControl/>
        <w:kinsoku/>
        <w:wordWrap/>
        <w:overflowPunct/>
        <w:topLinePunct w:val="0"/>
        <w:bidi w:val="0"/>
        <w:snapToGrid/>
        <w:spacing w:line="520" w:lineRule="exact"/>
        <w:ind w:right="1520" w:firstLine="4160" w:firstLineChars="1300"/>
        <w:textAlignment w:val="auto"/>
        <w:rPr>
          <w:rFonts w:hint="eastAsia" w:ascii="仿宋_GB2312" w:hAnsi="仿宋_GB2312" w:eastAsia="仿宋_GB2312" w:cs="仿宋_GB2312"/>
          <w:sz w:val="32"/>
          <w:szCs w:val="32"/>
          <w:lang w:val="en-US" w:eastAsia="zh-CN"/>
        </w:rPr>
      </w:pPr>
    </w:p>
    <w:p w14:paraId="3188977E">
      <w:pPr>
        <w:keepNext w:val="0"/>
        <w:keepLines w:val="0"/>
        <w:pageBreakBefore w:val="0"/>
        <w:widowControl/>
        <w:kinsoku/>
        <w:wordWrap/>
        <w:overflowPunct/>
        <w:topLinePunct w:val="0"/>
        <w:bidi w:val="0"/>
        <w:snapToGrid/>
        <w:spacing w:line="520" w:lineRule="exact"/>
        <w:ind w:right="1520" w:firstLine="4160" w:firstLineChars="1300"/>
        <w:textAlignment w:val="auto"/>
        <w:rPr>
          <w:rFonts w:hint="eastAsia" w:ascii="仿宋_GB2312" w:hAnsi="仿宋_GB2312" w:eastAsia="仿宋_GB2312" w:cs="仿宋_GB2312"/>
          <w:sz w:val="32"/>
          <w:szCs w:val="32"/>
          <w:lang w:val="en-US" w:eastAsia="zh-CN"/>
        </w:rPr>
      </w:pPr>
    </w:p>
    <w:p w14:paraId="13D7C62C">
      <w:pPr>
        <w:keepNext w:val="0"/>
        <w:keepLines w:val="0"/>
        <w:pageBreakBefore w:val="0"/>
        <w:widowControl/>
        <w:kinsoku/>
        <w:wordWrap/>
        <w:overflowPunct/>
        <w:topLinePunct w:val="0"/>
        <w:bidi w:val="0"/>
        <w:snapToGrid/>
        <w:spacing w:line="520" w:lineRule="exact"/>
        <w:ind w:right="1520"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抚州市东乡区财政局              </w:t>
      </w:r>
    </w:p>
    <w:p w14:paraId="65C6E796">
      <w:pPr>
        <w:keepNext w:val="0"/>
        <w:keepLines w:val="0"/>
        <w:pageBreakBefore w:val="0"/>
        <w:widowControl/>
        <w:kinsoku/>
        <w:wordWrap/>
        <w:overflowPunct/>
        <w:topLinePunct w:val="0"/>
        <w:bidi w:val="0"/>
        <w:snapToGrid/>
        <w:spacing w:line="520" w:lineRule="exac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日</w:t>
      </w: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OGQ4NGVmZDZjM2JlM2NmNTkxYWJkZWM1ODk2M2IifQ=="/>
  </w:docVars>
  <w:rsids>
    <w:rsidRoot w:val="00711B4A"/>
    <w:rsid w:val="00006760"/>
    <w:rsid w:val="00010CB9"/>
    <w:rsid w:val="00027F2C"/>
    <w:rsid w:val="00094421"/>
    <w:rsid w:val="000D04FD"/>
    <w:rsid w:val="000F6D11"/>
    <w:rsid w:val="00120F08"/>
    <w:rsid w:val="001449E7"/>
    <w:rsid w:val="001E73DB"/>
    <w:rsid w:val="001E7FE7"/>
    <w:rsid w:val="0027659C"/>
    <w:rsid w:val="00285286"/>
    <w:rsid w:val="00297C7F"/>
    <w:rsid w:val="002A7055"/>
    <w:rsid w:val="002C22C7"/>
    <w:rsid w:val="002E1AA6"/>
    <w:rsid w:val="0034209D"/>
    <w:rsid w:val="003633FC"/>
    <w:rsid w:val="003B36E4"/>
    <w:rsid w:val="003C6D61"/>
    <w:rsid w:val="00405E66"/>
    <w:rsid w:val="004328AB"/>
    <w:rsid w:val="004D66AF"/>
    <w:rsid w:val="005907D3"/>
    <w:rsid w:val="00596872"/>
    <w:rsid w:val="005C7F8B"/>
    <w:rsid w:val="005E4AE5"/>
    <w:rsid w:val="005E6576"/>
    <w:rsid w:val="005F2CFC"/>
    <w:rsid w:val="00691C18"/>
    <w:rsid w:val="006925C4"/>
    <w:rsid w:val="006C2357"/>
    <w:rsid w:val="006D527E"/>
    <w:rsid w:val="00711B4A"/>
    <w:rsid w:val="00715BE5"/>
    <w:rsid w:val="00742A97"/>
    <w:rsid w:val="007C41E6"/>
    <w:rsid w:val="007C5A28"/>
    <w:rsid w:val="007E635B"/>
    <w:rsid w:val="00831D4C"/>
    <w:rsid w:val="008E53BF"/>
    <w:rsid w:val="008E6DA0"/>
    <w:rsid w:val="008F7CED"/>
    <w:rsid w:val="009438B1"/>
    <w:rsid w:val="0095143B"/>
    <w:rsid w:val="00997B81"/>
    <w:rsid w:val="009F5323"/>
    <w:rsid w:val="00A1258A"/>
    <w:rsid w:val="00A13ABF"/>
    <w:rsid w:val="00A2555C"/>
    <w:rsid w:val="00A34068"/>
    <w:rsid w:val="00A6279A"/>
    <w:rsid w:val="00A63F0A"/>
    <w:rsid w:val="00A86F0A"/>
    <w:rsid w:val="00AD32C6"/>
    <w:rsid w:val="00AD5CDF"/>
    <w:rsid w:val="00AD61E9"/>
    <w:rsid w:val="00B22691"/>
    <w:rsid w:val="00B32ADA"/>
    <w:rsid w:val="00B7500E"/>
    <w:rsid w:val="00B8281F"/>
    <w:rsid w:val="00BB0502"/>
    <w:rsid w:val="00BE0851"/>
    <w:rsid w:val="00CB587A"/>
    <w:rsid w:val="00CB61E4"/>
    <w:rsid w:val="00CC31E3"/>
    <w:rsid w:val="00CE6DF0"/>
    <w:rsid w:val="00D1214D"/>
    <w:rsid w:val="00D400D9"/>
    <w:rsid w:val="00DF1F21"/>
    <w:rsid w:val="00E1084A"/>
    <w:rsid w:val="00E40BB6"/>
    <w:rsid w:val="00E5087A"/>
    <w:rsid w:val="00E732BC"/>
    <w:rsid w:val="00EC34EA"/>
    <w:rsid w:val="00ED798F"/>
    <w:rsid w:val="00EF35A3"/>
    <w:rsid w:val="00F25824"/>
    <w:rsid w:val="00F25E20"/>
    <w:rsid w:val="00F33501"/>
    <w:rsid w:val="00F42D00"/>
    <w:rsid w:val="00F526D1"/>
    <w:rsid w:val="00F5444C"/>
    <w:rsid w:val="00FA26CA"/>
    <w:rsid w:val="00FD0F42"/>
    <w:rsid w:val="00FD1F05"/>
    <w:rsid w:val="00FD2EBD"/>
    <w:rsid w:val="00FF0BB7"/>
    <w:rsid w:val="02C839CE"/>
    <w:rsid w:val="03F957DC"/>
    <w:rsid w:val="069D4938"/>
    <w:rsid w:val="0D23469C"/>
    <w:rsid w:val="0D6132D6"/>
    <w:rsid w:val="0F2C75CB"/>
    <w:rsid w:val="0F59545C"/>
    <w:rsid w:val="11380EA0"/>
    <w:rsid w:val="12357CAB"/>
    <w:rsid w:val="159A3154"/>
    <w:rsid w:val="1602699C"/>
    <w:rsid w:val="17A83AD8"/>
    <w:rsid w:val="1C077DEC"/>
    <w:rsid w:val="1C8361D3"/>
    <w:rsid w:val="1D3F300B"/>
    <w:rsid w:val="1E344BF2"/>
    <w:rsid w:val="20621A95"/>
    <w:rsid w:val="251B7371"/>
    <w:rsid w:val="25B76937"/>
    <w:rsid w:val="2D27007C"/>
    <w:rsid w:val="2D482056"/>
    <w:rsid w:val="35FC7C57"/>
    <w:rsid w:val="36F86858"/>
    <w:rsid w:val="39CA040D"/>
    <w:rsid w:val="3A56590F"/>
    <w:rsid w:val="3B9A6B30"/>
    <w:rsid w:val="3BAD16A1"/>
    <w:rsid w:val="3E831334"/>
    <w:rsid w:val="3F5F4EEC"/>
    <w:rsid w:val="41402B93"/>
    <w:rsid w:val="414B62DB"/>
    <w:rsid w:val="41A575DC"/>
    <w:rsid w:val="432129F3"/>
    <w:rsid w:val="439711A6"/>
    <w:rsid w:val="4449403B"/>
    <w:rsid w:val="459848B3"/>
    <w:rsid w:val="45E53379"/>
    <w:rsid w:val="49F34F98"/>
    <w:rsid w:val="51521CF7"/>
    <w:rsid w:val="51C92B77"/>
    <w:rsid w:val="52B75B12"/>
    <w:rsid w:val="546D79CE"/>
    <w:rsid w:val="573174F0"/>
    <w:rsid w:val="5B6A7475"/>
    <w:rsid w:val="5C304633"/>
    <w:rsid w:val="5D500A5D"/>
    <w:rsid w:val="5E322D7B"/>
    <w:rsid w:val="5FAE26E2"/>
    <w:rsid w:val="61853E99"/>
    <w:rsid w:val="63E71259"/>
    <w:rsid w:val="67AB58DF"/>
    <w:rsid w:val="67C86DB7"/>
    <w:rsid w:val="6CA91620"/>
    <w:rsid w:val="6D0446B2"/>
    <w:rsid w:val="6E886B8A"/>
    <w:rsid w:val="7AED19DB"/>
    <w:rsid w:val="7CAE0F81"/>
    <w:rsid w:val="7F567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
    <w:autoRedefine/>
    <w:qFormat/>
    <w:uiPriority w:val="99"/>
    <w:pPr>
      <w:keepNext/>
      <w:keepLines/>
      <w:spacing w:before="340" w:after="330" w:line="576" w:lineRule="auto"/>
      <w:outlineLvl w:val="0"/>
    </w:pPr>
    <w:rPr>
      <w:b/>
      <w:bCs/>
      <w:kern w:val="44"/>
      <w:sz w:val="44"/>
      <w:szCs w:val="44"/>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autoRedefine/>
    <w:qFormat/>
    <w:uiPriority w:val="99"/>
    <w:rPr>
      <w:rFonts w:ascii="Times New Roman" w:hAnsi="Times New Roman" w:eastAsia="宋体" w:cs="Times New Roman"/>
      <w:b/>
      <w:bCs/>
      <w:kern w:val="44"/>
      <w:sz w:val="44"/>
      <w:szCs w:val="44"/>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818</Words>
  <Characters>887</Characters>
  <Lines>8</Lines>
  <Paragraphs>2</Paragraphs>
  <TotalTime>0</TotalTime>
  <ScaleCrop>false</ScaleCrop>
  <LinksUpToDate>false</LinksUpToDate>
  <CharactersWithSpaces>958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2020-12-30T06:52:00Z</dcterms:created>
  <dc:creator>xb21cn</dc:creator>
  <cp:lastModifiedBy>Administrator</cp:lastModifiedBy>
  <dcterms:modified xsi:type="dcterms:W3CDTF">2024-07-22T07:51:43Z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7A41F552569949DB94646CC1E2128BA6_13</vt:lpwstr>
  </property>
</Properties>
</file>