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color w:val="010000"/>
          <w:kern w:val="0"/>
        </w:rPr>
      </w:pPr>
      <w:r>
        <w:rPr>
          <w:rFonts w:hint="eastAsia" w:ascii="方正小标宋简体" w:eastAsia="方正小标宋简体"/>
          <w:color w:val="010000"/>
          <w:kern w:val="0"/>
          <w:sz w:val="44"/>
          <w:szCs w:val="44"/>
        </w:rPr>
        <w:t>行政处罚决定书</w:t>
      </w:r>
    </w:p>
    <w:p>
      <w:pPr>
        <w:rPr>
          <w:rFonts w:hint="eastAsia"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xml:space="preserve"> 中心-YC2020-114       </w:t>
      </w:r>
    </w:p>
    <w:p>
      <w:pPr>
        <w:rPr>
          <w:rFonts w:hint="eastAsia"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xml:space="preserve"> 宜春幼儿师范高等专科学校宜春新校园会议室报告厅设备和学术报告厅设备（第二次电子化公开招标）项目  </w:t>
      </w:r>
    </w:p>
    <w:p>
      <w:pPr>
        <w:rPr>
          <w:rFonts w:hint="eastAsia" w:ascii="黑体" w:hAnsi="黑体" w:eastAsia="黑体"/>
          <w:sz w:val="28"/>
          <w:szCs w:val="28"/>
        </w:rPr>
      </w:pPr>
      <w:r>
        <w:rPr>
          <w:rFonts w:hint="eastAsia" w:ascii="黑体" w:hAnsi="黑体" w:eastAsia="黑体"/>
          <w:sz w:val="28"/>
          <w:szCs w:val="28"/>
        </w:rPr>
        <w:t>三、相关当事人</w:t>
      </w:r>
    </w:p>
    <w:p>
      <w:pPr>
        <w:ind w:firstLine="565" w:firstLineChars="202"/>
        <w:rPr>
          <w:rFonts w:hint="eastAsia" w:ascii="仿宋" w:hAnsi="仿宋" w:eastAsia="仿宋"/>
          <w:sz w:val="28"/>
          <w:szCs w:val="28"/>
          <w:u w:val="single"/>
        </w:rPr>
      </w:pPr>
      <w:r>
        <w:rPr>
          <w:rFonts w:hint="eastAsia" w:ascii="仿宋" w:hAnsi="仿宋" w:eastAsia="仿宋"/>
          <w:sz w:val="28"/>
          <w:szCs w:val="28"/>
        </w:rPr>
        <w:t>当事人：</w:t>
      </w:r>
      <w:r>
        <w:rPr>
          <w:rFonts w:hint="eastAsia" w:ascii="仿宋" w:hAnsi="仿宋" w:eastAsia="仿宋"/>
          <w:sz w:val="28"/>
          <w:szCs w:val="28"/>
          <w:u w:val="single"/>
        </w:rPr>
        <w:t xml:space="preserve"> 钟玉荣、阳甫清、章够明、吴永顺、李存金</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江西省宜春市袁州区  </w:t>
      </w:r>
    </w:p>
    <w:p>
      <w:pPr>
        <w:rPr>
          <w:rFonts w:hint="eastAsia" w:ascii="黑体" w:hAnsi="黑体" w:eastAsia="黑体"/>
          <w:sz w:val="28"/>
          <w:szCs w:val="28"/>
        </w:rPr>
      </w:pPr>
      <w:r>
        <w:rPr>
          <w:rFonts w:hint="eastAsia" w:ascii="黑体" w:hAnsi="黑体" w:eastAsia="黑体"/>
          <w:sz w:val="28"/>
          <w:szCs w:val="28"/>
        </w:rPr>
        <w:t>四、基本情况</w:t>
      </w:r>
    </w:p>
    <w:p>
      <w:pPr>
        <w:widowControl/>
        <w:autoSpaceDE w:val="0"/>
        <w:spacing w:line="500" w:lineRule="exact"/>
        <w:ind w:firstLine="548" w:firstLineChars="196"/>
        <w:rPr>
          <w:rFonts w:hint="eastAsia" w:ascii="仿宋" w:hAnsi="仿宋" w:eastAsia="仿宋" w:cs="Times New Roman"/>
          <w:sz w:val="28"/>
          <w:szCs w:val="28"/>
        </w:rPr>
      </w:pPr>
      <w:r>
        <w:rPr>
          <w:rFonts w:hint="eastAsia" w:ascii="仿宋" w:hAnsi="仿宋" w:eastAsia="仿宋" w:cs="Times New Roman"/>
          <w:sz w:val="28"/>
          <w:szCs w:val="28"/>
        </w:rPr>
        <w:t>2021年2月5日，宜春幼儿师范高等专科学校宜春新校园会议室报告厅设备和学术报告厅设备（第二次电子化公开招标）项目（项目编号：中心-YC2020-114）开标，经评标委员会综合评分，排名第一的建投物联股份有限公司中标。2021年2月10日，南昌水投供应链管理有限公司向宜春市政府采购中心质疑建投物联股份有限公司投标文件中一拖二无线手持话筒的数量未能响应招标文件要求。2021年3月1日，宜春幼儿师范高等专科学校组织原评标委员会协助答复质疑，经原评标委员会核查建投物联股份有限公司的投标文件，认定“其投标文件P68-15的一拖二无线手持话筒数量与招标数量要求不符合，未完全响应招标文件要求，应做无效标处理”。2021年3月2日，宜春幼儿师范高等专科学校认为南昌水投供应链管理有限公司质疑成立，取消建投物联股份有限公司的中标资格，并从合格的中标候选人中确定综合得分排名第二的南昌水投供应链管理有限公司为中标供应商。2021年3月4日，宜春幼儿师范高等专科学校将此情况书面报告我局。</w:t>
      </w:r>
    </w:p>
    <w:p>
      <w:pPr>
        <w:widowControl/>
        <w:autoSpaceDE w:val="0"/>
        <w:spacing w:line="500" w:lineRule="exact"/>
        <w:ind w:firstLine="548" w:firstLineChars="196"/>
        <w:rPr>
          <w:rFonts w:hint="eastAsia" w:ascii="仿宋" w:hAnsi="仿宋" w:eastAsia="仿宋" w:cs="Times New Roman"/>
          <w:sz w:val="28"/>
          <w:szCs w:val="28"/>
        </w:rPr>
      </w:pPr>
      <w:r>
        <w:rPr>
          <w:rFonts w:hint="eastAsia" w:ascii="仿宋" w:hAnsi="仿宋" w:eastAsia="仿宋" w:cs="Times New Roman"/>
          <w:sz w:val="28"/>
          <w:szCs w:val="28"/>
        </w:rPr>
        <w:t>评标委员会在该项目评审过程中没有按照采购文件规定的评审标准评审。违反了《中华人民共和国政府采购法实施条例》第四十一条之规定：“评标委员会、竞争性谈判小组或者询价小组成员应当按照客观、公正、审慎的原则，根据采购文件规定的评审程序、评审方法和评审标准进行独立评审”。</w:t>
      </w:r>
    </w:p>
    <w:p>
      <w:pPr>
        <w:rPr>
          <w:rFonts w:hint="eastAsia" w:ascii="黑体" w:hAnsi="黑体" w:eastAsia="黑体"/>
          <w:sz w:val="28"/>
          <w:szCs w:val="28"/>
        </w:rPr>
      </w:pPr>
      <w:r>
        <w:rPr>
          <w:rFonts w:hint="eastAsia" w:ascii="黑体" w:hAnsi="黑体" w:eastAsia="黑体"/>
          <w:sz w:val="28"/>
          <w:szCs w:val="28"/>
        </w:rPr>
        <w:t>五、处理依据及结果</w:t>
      </w:r>
    </w:p>
    <w:p>
      <w:pPr>
        <w:widowControl/>
        <w:autoSpaceDE w:val="0"/>
        <w:spacing w:line="500" w:lineRule="exact"/>
        <w:ind w:firstLine="548" w:firstLineChars="196"/>
        <w:rPr>
          <w:rFonts w:hint="eastAsia" w:ascii="仿宋" w:hAnsi="仿宋" w:eastAsia="仿宋"/>
          <w:sz w:val="28"/>
          <w:szCs w:val="28"/>
        </w:rPr>
      </w:pPr>
      <w:r>
        <w:rPr>
          <w:rFonts w:hint="eastAsia" w:ascii="仿宋" w:hAnsi="仿宋" w:eastAsia="仿宋"/>
          <w:sz w:val="28"/>
          <w:szCs w:val="28"/>
        </w:rPr>
        <w:t>根据《中华人民共和国政府采购法实施条例》第七十五条之规定，本机关作出以下行政处罚：</w:t>
      </w:r>
    </w:p>
    <w:p>
      <w:pPr>
        <w:widowControl/>
        <w:autoSpaceDE w:val="0"/>
        <w:spacing w:line="500" w:lineRule="exact"/>
        <w:ind w:firstLine="548" w:firstLineChars="196"/>
        <w:rPr>
          <w:rFonts w:hint="eastAsia" w:ascii="仿宋" w:hAnsi="仿宋" w:eastAsia="仿宋"/>
          <w:sz w:val="28"/>
          <w:szCs w:val="28"/>
        </w:rPr>
      </w:pPr>
      <w:r>
        <w:rPr>
          <w:rFonts w:hint="eastAsia" w:ascii="仿宋" w:hAnsi="仿宋" w:eastAsia="仿宋"/>
          <w:sz w:val="28"/>
          <w:szCs w:val="28"/>
        </w:rPr>
        <w:t>1.警告；</w:t>
      </w:r>
    </w:p>
    <w:p>
      <w:pPr>
        <w:widowControl/>
        <w:autoSpaceDE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2.责令退回评审费。</w:t>
      </w:r>
    </w:p>
    <w:p>
      <w:pPr>
        <w:rPr>
          <w:rFonts w:hint="eastAsia" w:ascii="黑体" w:hAnsi="黑体" w:eastAsia="黑体" w:cs="仿宋"/>
          <w:sz w:val="28"/>
          <w:szCs w:val="28"/>
        </w:rPr>
      </w:pPr>
      <w:r>
        <w:rPr>
          <w:rFonts w:hint="eastAsia" w:ascii="黑体" w:hAnsi="黑体" w:eastAsia="黑体" w:cs="仿宋"/>
          <w:sz w:val="28"/>
          <w:szCs w:val="28"/>
        </w:rPr>
        <w:t>六、其他补充事宜</w:t>
      </w:r>
    </w:p>
    <w:p>
      <w:pPr>
        <w:ind w:firstLine="560" w:firstLineChars="200"/>
        <w:rPr>
          <w:rFonts w:hint="eastAsia" w:ascii="仿宋" w:hAnsi="仿宋" w:eastAsia="仿宋"/>
          <w:sz w:val="28"/>
          <w:szCs w:val="28"/>
        </w:rPr>
      </w:pPr>
      <w:r>
        <w:rPr>
          <w:rFonts w:hint="eastAsia" w:ascii="仿宋" w:hAnsi="仿宋" w:eastAsia="仿宋"/>
          <w:sz w:val="28"/>
          <w:szCs w:val="28"/>
        </w:rPr>
        <w:t>如不服本处罚决定，可以在接到本决定书之日起60日内，依法向宜春市人民政府或者江西省财政厅申请行政复议；或者在接到本决定书之日起6个月内依法向人民法院提起行政诉讼。</w:t>
      </w:r>
    </w:p>
    <w:p>
      <w:pPr>
        <w:rPr>
          <w:rFonts w:hint="eastAsia"/>
          <w:sz w:val="28"/>
          <w:szCs w:val="28"/>
        </w:rPr>
      </w:pPr>
      <w:r>
        <w:rPr>
          <w:sz w:val="28"/>
          <w:szCs w:val="28"/>
        </w:rPr>
        <w:t xml:space="preserve"> </w:t>
      </w:r>
    </w:p>
    <w:p>
      <w:pPr>
        <w:rPr>
          <w:sz w:val="28"/>
          <w:szCs w:val="28"/>
        </w:rPr>
      </w:pPr>
      <w:r>
        <w:rPr>
          <w:sz w:val="28"/>
          <w:szCs w:val="28"/>
        </w:rPr>
        <w:t xml:space="preserve"> </w:t>
      </w:r>
    </w:p>
    <w:p>
      <w:pPr>
        <w:widowControl/>
        <w:ind w:right="300"/>
        <w:jc w:val="center"/>
        <w:rPr>
          <w:rFonts w:ascii="仿宋" w:hAnsi="仿宋" w:eastAsia="仿宋"/>
          <w:sz w:val="28"/>
          <w:szCs w:val="28"/>
        </w:rPr>
      </w:pP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宜春市财政局</w:t>
      </w:r>
    </w:p>
    <w:p>
      <w:pPr>
        <w:widowControl/>
        <w:ind w:right="300"/>
        <w:jc w:val="right"/>
        <w:rPr>
          <w:rFonts w:hint="eastAsia" w:ascii="仿宋" w:hAnsi="仿宋" w:eastAsia="仿宋"/>
          <w:sz w:val="28"/>
          <w:szCs w:val="28"/>
        </w:rPr>
      </w:pPr>
      <w:r>
        <w:rPr>
          <w:rFonts w:hint="eastAsia" w:ascii="仿宋" w:hAnsi="仿宋" w:eastAsia="仿宋"/>
          <w:sz w:val="28"/>
          <w:szCs w:val="28"/>
        </w:rPr>
        <w:t>2021年3月22日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132A"/>
    <w:rsid w:val="0088132A"/>
    <w:rsid w:val="00934E66"/>
    <w:rsid w:val="00FC3708"/>
    <w:rsid w:val="0A8F1F5B"/>
    <w:rsid w:val="0DE76E1A"/>
    <w:rsid w:val="2BD014FF"/>
    <w:rsid w:val="30B60B77"/>
    <w:rsid w:val="3C934576"/>
    <w:rsid w:val="4713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
    <w:qFormat/>
    <w:uiPriority w:val="99"/>
    <w:pPr>
      <w:keepNext/>
      <w:keepLines/>
      <w:spacing w:before="340" w:after="330" w:line="576" w:lineRule="auto"/>
      <w:outlineLvl w:val="0"/>
    </w:pPr>
    <w:rPr>
      <w:b/>
      <w:bCs/>
      <w:kern w:val="44"/>
      <w:sz w:val="44"/>
      <w:szCs w:val="44"/>
    </w:rPr>
  </w:style>
  <w:style w:type="character" w:default="1" w:styleId="4">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adjustRightInd/>
      <w:spacing w:line="240" w:lineRule="auto"/>
      <w:textAlignment w:val="auto"/>
    </w:pPr>
    <w:rPr>
      <w:rFonts w:hAnsi="Courier New" w:eastAsia="楷体_GB2312"/>
      <w:sz w:val="28"/>
    </w:rPr>
  </w:style>
  <w:style w:type="character" w:customStyle="1" w:styleId="6">
    <w:name w:val="标题 1 Char"/>
    <w:basedOn w:val="4"/>
    <w:link w:val="3"/>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128</Words>
  <Characters>735</Characters>
  <Lines>6</Lines>
  <Paragraphs>1</Paragraphs>
  <TotalTime>1</TotalTime>
  <ScaleCrop>false</ScaleCrop>
  <LinksUpToDate>false</LinksUpToDate>
  <CharactersWithSpaces>862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2021-04-02T07:49:00Z</dcterms:created>
  <dc:creator>微软用户</dc:creator>
  <cp:lastModifiedBy>Administrator</cp:lastModifiedBy>
  <dcterms:modified xsi:type="dcterms:W3CDTF">2021-04-02T08:09:46Z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