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1C2E57">
      <w:pPr>
        <w:pStyle w:val="2"/>
        <w:tabs>
          <w:tab w:val="left" w:pos="0"/>
        </w:tabs>
        <w:autoSpaceDE w:val="0"/>
        <w:autoSpaceDN w:val="0"/>
        <w:adjustRightInd w:val="0"/>
        <w:spacing w:before="0" w:after="0" w:line="360" w:lineRule="auto"/>
        <w:jc w:val="center"/>
        <w:rPr>
          <w:rFonts w:ascii="华文中宋" w:hAnsi="华文中宋" w:eastAsia="华文中宋"/>
        </w:rPr>
      </w:pPr>
      <w:bookmarkStart w:id="0" w:name="_Toc28359044"/>
      <w:bookmarkStart w:id="1" w:name="_Toc35393834"/>
      <w:r>
        <w:rPr>
          <w:rFonts w:hint="eastAsia" w:ascii="华文中宋" w:hAnsi="华文中宋" w:eastAsia="华文中宋"/>
          <w:lang w:val="en-US" w:eastAsia="zh-CN"/>
        </w:rPr>
        <w:t>投诉</w:t>
      </w:r>
      <w:r>
        <w:rPr>
          <w:rFonts w:hint="eastAsia" w:ascii="华文中宋" w:hAnsi="华文中宋" w:eastAsia="华文中宋"/>
        </w:rPr>
        <w:t>处理结果公告</w:t>
      </w:r>
      <w:bookmarkEnd w:id="0"/>
      <w:bookmarkEnd w:id="1"/>
    </w:p>
    <w:p w14:paraId="7400AD49">
      <w:pPr>
        <w:keepNext w:val="0"/>
        <w:keepLines w:val="0"/>
        <w:pageBreakBefore w:val="0"/>
        <w:kinsoku/>
        <w:wordWrap/>
        <w:overflowPunct/>
        <w:topLinePunct w:val="0"/>
        <w:autoSpaceDE/>
        <w:autoSpaceDN/>
        <w:bidi w:val="0"/>
        <w:adjustRightInd/>
        <w:snapToGrid/>
        <w:spacing w:line="240" w:lineRule="auto"/>
        <w:ind w:firstLine="560" w:firstLineChars="200"/>
        <w:textAlignment w:val="auto"/>
        <w:rPr>
          <w:rFonts w:hint="default" w:eastAsia="仿宋"/>
          <w:sz w:val="28"/>
          <w:szCs w:val="28"/>
          <w:lang w:val="en-US" w:eastAsia="zh-CN"/>
        </w:rPr>
      </w:pPr>
      <w:r>
        <w:rPr>
          <w:rFonts w:eastAsia="黑体"/>
          <w:sz w:val="28"/>
          <w:szCs w:val="28"/>
        </w:rPr>
        <w:t>一、项目编号：</w:t>
      </w:r>
      <w:r>
        <w:rPr>
          <w:rFonts w:hint="eastAsia" w:ascii="仿宋" w:hAnsi="仿宋" w:eastAsia="仿宋" w:cs="仿宋"/>
          <w:sz w:val="28"/>
          <w:szCs w:val="28"/>
          <w:u w:val="single"/>
        </w:rPr>
        <w:t>高安中心-GA2024-059</w:t>
      </w:r>
      <w:r>
        <w:rPr>
          <w:rFonts w:hint="eastAsia" w:ascii="仿宋" w:hAnsi="仿宋" w:eastAsia="仿宋" w:cs="仿宋"/>
          <w:sz w:val="28"/>
          <w:szCs w:val="28"/>
          <w:u w:val="single"/>
          <w:lang w:val="en-US" w:eastAsia="zh-CN"/>
        </w:rPr>
        <w:t xml:space="preserve">  </w:t>
      </w:r>
    </w:p>
    <w:p w14:paraId="6F1C3CFE">
      <w:pPr>
        <w:keepNext w:val="0"/>
        <w:keepLines w:val="0"/>
        <w:pageBreakBefore w:val="0"/>
        <w:kinsoku/>
        <w:wordWrap/>
        <w:overflowPunct/>
        <w:topLinePunct w:val="0"/>
        <w:autoSpaceDE/>
        <w:autoSpaceDN/>
        <w:bidi w:val="0"/>
        <w:adjustRightInd/>
        <w:snapToGrid/>
        <w:spacing w:line="240" w:lineRule="auto"/>
        <w:ind w:firstLine="560" w:firstLineChars="200"/>
        <w:textAlignment w:val="auto"/>
        <w:rPr>
          <w:rFonts w:hint="default" w:eastAsia="仿宋"/>
          <w:sz w:val="28"/>
          <w:szCs w:val="28"/>
          <w:lang w:val="en-US" w:eastAsia="zh-CN"/>
        </w:rPr>
      </w:pPr>
      <w:r>
        <w:rPr>
          <w:rFonts w:eastAsia="黑体"/>
          <w:sz w:val="28"/>
          <w:szCs w:val="28"/>
        </w:rPr>
        <w:t>二、项目名称：</w:t>
      </w:r>
      <w:r>
        <w:rPr>
          <w:rFonts w:hint="eastAsia" w:ascii="仿宋" w:hAnsi="仿宋" w:eastAsia="仿宋" w:cs="仿宋"/>
          <w:sz w:val="28"/>
          <w:szCs w:val="28"/>
          <w:u w:val="single"/>
        </w:rPr>
        <w:t>宜春市高安生态环境局高安市乡镇空气站第三方运维服务采购项目</w:t>
      </w:r>
      <w:r>
        <w:rPr>
          <w:rFonts w:hint="eastAsia" w:ascii="仿宋" w:hAnsi="仿宋" w:eastAsia="仿宋" w:cs="仿宋"/>
          <w:sz w:val="28"/>
          <w:szCs w:val="28"/>
          <w:u w:val="single"/>
          <w:lang w:val="en-US" w:eastAsia="zh-CN"/>
        </w:rPr>
        <w:t xml:space="preserve">  </w:t>
      </w:r>
    </w:p>
    <w:p w14:paraId="6AA35053">
      <w:pPr>
        <w:keepNext w:val="0"/>
        <w:keepLines w:val="0"/>
        <w:pageBreakBefore w:val="0"/>
        <w:kinsoku/>
        <w:wordWrap/>
        <w:overflowPunct/>
        <w:topLinePunct w:val="0"/>
        <w:autoSpaceDE/>
        <w:autoSpaceDN/>
        <w:bidi w:val="0"/>
        <w:adjustRightInd/>
        <w:snapToGrid/>
        <w:spacing w:line="240" w:lineRule="auto"/>
        <w:ind w:firstLine="560" w:firstLineChars="200"/>
        <w:textAlignment w:val="auto"/>
        <w:rPr>
          <w:rFonts w:eastAsia="黑体"/>
          <w:sz w:val="28"/>
          <w:szCs w:val="28"/>
        </w:rPr>
      </w:pPr>
      <w:r>
        <w:rPr>
          <w:rFonts w:eastAsia="黑体"/>
          <w:sz w:val="28"/>
          <w:szCs w:val="28"/>
        </w:rPr>
        <w:t>三、相关当事人</w:t>
      </w:r>
    </w:p>
    <w:p w14:paraId="3ADBD7AC">
      <w:pPr>
        <w:keepNext w:val="0"/>
        <w:keepLines w:val="0"/>
        <w:pageBreakBefore w:val="0"/>
        <w:kinsoku/>
        <w:wordWrap/>
        <w:overflowPunct/>
        <w:topLinePunct w:val="0"/>
        <w:autoSpaceDE/>
        <w:autoSpaceDN/>
        <w:bidi w:val="0"/>
        <w:adjustRightInd/>
        <w:snapToGrid/>
        <w:spacing w:line="240" w:lineRule="auto"/>
        <w:ind w:firstLine="560" w:firstLineChars="200"/>
        <w:textAlignment w:val="auto"/>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当事人1</w:t>
      </w:r>
      <w:r>
        <w:rPr>
          <w:rFonts w:hint="eastAsia" w:ascii="仿宋" w:hAnsi="仿宋" w:eastAsia="仿宋" w:cs="仿宋"/>
          <w:b w:val="0"/>
          <w:bCs w:val="0"/>
          <w:sz w:val="28"/>
          <w:szCs w:val="28"/>
        </w:rPr>
        <w:t>：</w:t>
      </w:r>
      <w:r>
        <w:rPr>
          <w:rFonts w:hint="eastAsia" w:ascii="仿宋" w:hAnsi="仿宋" w:eastAsia="仿宋" w:cs="仿宋"/>
          <w:b w:val="0"/>
          <w:bCs w:val="0"/>
          <w:sz w:val="28"/>
          <w:szCs w:val="28"/>
          <w:u w:val="single"/>
        </w:rPr>
        <w:t>南昌市尔能环保技术有限公司</w:t>
      </w:r>
      <w:r>
        <w:rPr>
          <w:rFonts w:hint="eastAsia" w:ascii="仿宋" w:hAnsi="仿宋" w:eastAsia="仿宋" w:cs="仿宋"/>
          <w:b w:val="0"/>
          <w:bCs w:val="0"/>
          <w:sz w:val="28"/>
          <w:szCs w:val="28"/>
          <w:u w:val="single"/>
          <w:lang w:val="en-US" w:eastAsia="zh-CN"/>
        </w:rPr>
        <w:t xml:space="preserve">  </w:t>
      </w:r>
    </w:p>
    <w:p w14:paraId="612BCE8F">
      <w:pPr>
        <w:keepNext w:val="0"/>
        <w:keepLines w:val="0"/>
        <w:pageBreakBefore w:val="0"/>
        <w:kinsoku/>
        <w:wordWrap/>
        <w:overflowPunct/>
        <w:topLinePunct w:val="0"/>
        <w:autoSpaceDE/>
        <w:autoSpaceDN/>
        <w:bidi w:val="0"/>
        <w:adjustRightInd/>
        <w:snapToGrid/>
        <w:spacing w:line="240" w:lineRule="auto"/>
        <w:ind w:firstLine="560" w:firstLineChars="200"/>
        <w:textAlignment w:val="auto"/>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rPr>
        <w:t>地址：</w:t>
      </w:r>
      <w:r>
        <w:rPr>
          <w:rFonts w:hint="eastAsia" w:ascii="仿宋" w:hAnsi="仿宋" w:eastAsia="仿宋" w:cs="仿宋"/>
          <w:b w:val="0"/>
          <w:bCs w:val="0"/>
          <w:sz w:val="28"/>
          <w:szCs w:val="28"/>
          <w:u w:val="single"/>
        </w:rPr>
        <w:t>江西省南昌市南昌经济技术开发区广兰大道南天阳光45号楼二单元903室（第9层）（第6层）</w:t>
      </w:r>
      <w:r>
        <w:rPr>
          <w:rFonts w:hint="eastAsia" w:ascii="仿宋" w:hAnsi="仿宋" w:eastAsia="仿宋" w:cs="仿宋"/>
          <w:b w:val="0"/>
          <w:bCs w:val="0"/>
          <w:sz w:val="28"/>
          <w:szCs w:val="28"/>
          <w:u w:val="single"/>
          <w:lang w:val="en-US" w:eastAsia="zh-CN"/>
        </w:rPr>
        <w:t xml:space="preserve">  </w:t>
      </w:r>
    </w:p>
    <w:p w14:paraId="41BB5483">
      <w:pPr>
        <w:keepNext w:val="0"/>
        <w:keepLines w:val="0"/>
        <w:pageBreakBefore w:val="0"/>
        <w:kinsoku/>
        <w:wordWrap/>
        <w:overflowPunct/>
        <w:topLinePunct w:val="0"/>
        <w:autoSpaceDE/>
        <w:autoSpaceDN/>
        <w:bidi w:val="0"/>
        <w:adjustRightInd/>
        <w:snapToGrid/>
        <w:spacing w:line="240" w:lineRule="auto"/>
        <w:ind w:firstLine="560" w:firstLineChars="200"/>
        <w:textAlignment w:val="auto"/>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当事人2</w:t>
      </w:r>
      <w:r>
        <w:rPr>
          <w:rFonts w:hint="eastAsia" w:ascii="仿宋" w:hAnsi="仿宋" w:eastAsia="仿宋" w:cs="仿宋"/>
          <w:b w:val="0"/>
          <w:bCs w:val="0"/>
          <w:sz w:val="28"/>
          <w:szCs w:val="28"/>
        </w:rPr>
        <w:t>：</w:t>
      </w:r>
      <w:r>
        <w:rPr>
          <w:rFonts w:hint="eastAsia" w:ascii="仿宋" w:hAnsi="仿宋" w:eastAsia="仿宋" w:cs="仿宋"/>
          <w:b w:val="0"/>
          <w:bCs w:val="0"/>
          <w:sz w:val="28"/>
          <w:szCs w:val="28"/>
          <w:u w:val="single"/>
        </w:rPr>
        <w:t>宜春市高安生态环境局</w:t>
      </w:r>
      <w:r>
        <w:rPr>
          <w:rFonts w:hint="eastAsia" w:ascii="仿宋" w:hAnsi="仿宋" w:eastAsia="仿宋" w:cs="仿宋"/>
          <w:b w:val="0"/>
          <w:bCs w:val="0"/>
          <w:sz w:val="28"/>
          <w:szCs w:val="28"/>
          <w:u w:val="single"/>
          <w:lang w:val="en-US" w:eastAsia="zh-CN"/>
        </w:rPr>
        <w:t xml:space="preserve">  </w:t>
      </w:r>
    </w:p>
    <w:p w14:paraId="6370918B">
      <w:pPr>
        <w:keepNext w:val="0"/>
        <w:keepLines w:val="0"/>
        <w:pageBreakBefore w:val="0"/>
        <w:kinsoku/>
        <w:wordWrap/>
        <w:overflowPunct/>
        <w:topLinePunct w:val="0"/>
        <w:autoSpaceDE/>
        <w:autoSpaceDN/>
        <w:bidi w:val="0"/>
        <w:adjustRightInd/>
        <w:snapToGrid/>
        <w:spacing w:line="240" w:lineRule="auto"/>
        <w:ind w:firstLine="560" w:firstLineChars="200"/>
        <w:textAlignment w:val="auto"/>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rPr>
        <w:t>地址：</w:t>
      </w:r>
      <w:r>
        <w:rPr>
          <w:rFonts w:hint="eastAsia" w:ascii="仿宋" w:hAnsi="仿宋" w:eastAsia="仿宋" w:cs="仿宋"/>
          <w:b w:val="0"/>
          <w:bCs w:val="0"/>
          <w:sz w:val="28"/>
          <w:szCs w:val="28"/>
          <w:u w:val="single"/>
        </w:rPr>
        <w:t>高安市瑞阳新区</w:t>
      </w:r>
      <w:r>
        <w:rPr>
          <w:rFonts w:hint="eastAsia" w:ascii="仿宋" w:hAnsi="仿宋" w:eastAsia="仿宋" w:cs="仿宋"/>
          <w:b w:val="0"/>
          <w:bCs w:val="0"/>
          <w:sz w:val="28"/>
          <w:szCs w:val="28"/>
          <w:u w:val="single"/>
          <w:lang w:val="en-US" w:eastAsia="zh-CN"/>
        </w:rPr>
        <w:t xml:space="preserve">  </w:t>
      </w:r>
    </w:p>
    <w:p w14:paraId="2F6404B7">
      <w:pPr>
        <w:keepNext w:val="0"/>
        <w:keepLines w:val="0"/>
        <w:pageBreakBefore w:val="0"/>
        <w:kinsoku/>
        <w:wordWrap/>
        <w:overflowPunct/>
        <w:topLinePunct w:val="0"/>
        <w:autoSpaceDE/>
        <w:autoSpaceDN/>
        <w:bidi w:val="0"/>
        <w:adjustRightInd/>
        <w:snapToGrid/>
        <w:spacing w:line="240" w:lineRule="auto"/>
        <w:ind w:firstLine="560" w:firstLineChars="200"/>
        <w:textAlignment w:val="auto"/>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rPr>
        <w:t>当事人</w:t>
      </w:r>
      <w:r>
        <w:rPr>
          <w:rFonts w:hint="eastAsia" w:ascii="仿宋" w:hAnsi="仿宋" w:eastAsia="仿宋" w:cs="仿宋"/>
          <w:b w:val="0"/>
          <w:bCs w:val="0"/>
          <w:sz w:val="28"/>
          <w:szCs w:val="28"/>
          <w:lang w:val="en-US" w:eastAsia="zh-CN"/>
        </w:rPr>
        <w:t>3</w:t>
      </w:r>
      <w:r>
        <w:rPr>
          <w:rFonts w:hint="eastAsia" w:ascii="仿宋" w:hAnsi="仿宋" w:eastAsia="仿宋" w:cs="仿宋"/>
          <w:b w:val="0"/>
          <w:bCs w:val="0"/>
          <w:sz w:val="28"/>
          <w:szCs w:val="28"/>
        </w:rPr>
        <w:t>：</w:t>
      </w:r>
      <w:r>
        <w:rPr>
          <w:rFonts w:hint="eastAsia" w:ascii="仿宋" w:hAnsi="仿宋" w:eastAsia="仿宋" w:cs="仿宋"/>
          <w:b w:val="0"/>
          <w:bCs w:val="0"/>
          <w:sz w:val="28"/>
          <w:szCs w:val="28"/>
          <w:u w:val="single"/>
        </w:rPr>
        <w:t>高安市采购中心</w:t>
      </w:r>
      <w:r>
        <w:rPr>
          <w:rFonts w:hint="eastAsia" w:ascii="仿宋" w:hAnsi="仿宋" w:eastAsia="仿宋" w:cs="仿宋"/>
          <w:b w:val="0"/>
          <w:bCs w:val="0"/>
          <w:sz w:val="28"/>
          <w:szCs w:val="28"/>
          <w:u w:val="single"/>
          <w:lang w:val="en-US" w:eastAsia="zh-CN"/>
        </w:rPr>
        <w:t xml:space="preserve">  </w:t>
      </w:r>
    </w:p>
    <w:p w14:paraId="1D30661C">
      <w:pPr>
        <w:keepNext w:val="0"/>
        <w:keepLines w:val="0"/>
        <w:pageBreakBefore w:val="0"/>
        <w:kinsoku/>
        <w:wordWrap/>
        <w:overflowPunct/>
        <w:topLinePunct w:val="0"/>
        <w:autoSpaceDE/>
        <w:autoSpaceDN/>
        <w:bidi w:val="0"/>
        <w:adjustRightInd/>
        <w:snapToGrid/>
        <w:spacing w:line="240" w:lineRule="auto"/>
        <w:ind w:firstLine="560" w:firstLineChars="200"/>
        <w:textAlignment w:val="auto"/>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rPr>
        <w:t>地址：</w:t>
      </w:r>
      <w:r>
        <w:rPr>
          <w:rFonts w:hint="eastAsia" w:ascii="仿宋" w:hAnsi="仿宋" w:eastAsia="仿宋" w:cs="仿宋"/>
          <w:b w:val="0"/>
          <w:bCs w:val="0"/>
          <w:sz w:val="28"/>
          <w:szCs w:val="28"/>
          <w:u w:val="single"/>
        </w:rPr>
        <w:t>高安市市民中心A座506</w:t>
      </w:r>
      <w:r>
        <w:rPr>
          <w:rFonts w:hint="eastAsia" w:ascii="仿宋" w:hAnsi="仿宋" w:eastAsia="仿宋" w:cs="仿宋"/>
          <w:b w:val="0"/>
          <w:bCs w:val="0"/>
          <w:sz w:val="28"/>
          <w:szCs w:val="28"/>
          <w:u w:val="single"/>
          <w:lang w:val="en-US" w:eastAsia="zh-CN"/>
        </w:rPr>
        <w:t xml:space="preserve">  </w:t>
      </w:r>
    </w:p>
    <w:p w14:paraId="5409AF27">
      <w:pPr>
        <w:keepNext w:val="0"/>
        <w:keepLines w:val="0"/>
        <w:pageBreakBefore w:val="0"/>
        <w:kinsoku/>
        <w:wordWrap/>
        <w:overflowPunct/>
        <w:topLinePunct w:val="0"/>
        <w:autoSpaceDE/>
        <w:autoSpaceDN/>
        <w:bidi w:val="0"/>
        <w:adjustRightInd/>
        <w:snapToGrid/>
        <w:spacing w:line="240" w:lineRule="auto"/>
        <w:ind w:firstLine="560" w:firstLineChars="200"/>
        <w:textAlignment w:val="auto"/>
        <w:rPr>
          <w:rFonts w:eastAsia="黑体"/>
          <w:sz w:val="28"/>
          <w:szCs w:val="28"/>
        </w:rPr>
      </w:pPr>
      <w:r>
        <w:rPr>
          <w:rFonts w:eastAsia="黑体"/>
          <w:sz w:val="28"/>
          <w:szCs w:val="28"/>
        </w:rPr>
        <w:t>四、基本情况</w:t>
      </w:r>
    </w:p>
    <w:p w14:paraId="695FB0D7">
      <w:pPr>
        <w:keepNext w:val="0"/>
        <w:keepLines w:val="0"/>
        <w:pageBreakBefore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shd w:val="clear" w:color="auto" w:fill="FFFFFF"/>
        </w:rPr>
      </w:pPr>
      <w:r>
        <w:rPr>
          <w:rFonts w:hint="eastAsia" w:ascii="仿宋" w:hAnsi="仿宋" w:eastAsia="仿宋" w:cs="仿宋"/>
          <w:sz w:val="28"/>
          <w:szCs w:val="28"/>
        </w:rPr>
        <w:t>投诉人因对被投诉人质疑答复不满意向本机关提起投诉，</w:t>
      </w:r>
      <w:r>
        <w:rPr>
          <w:rFonts w:hint="eastAsia" w:ascii="仿宋" w:hAnsi="仿宋" w:eastAsia="仿宋" w:cs="仿宋"/>
          <w:sz w:val="28"/>
          <w:szCs w:val="28"/>
          <w:shd w:val="clear" w:color="auto" w:fill="FFFFFF"/>
        </w:rPr>
        <w:t>本机关审查后依法受理，</w:t>
      </w:r>
      <w:r>
        <w:rPr>
          <w:rFonts w:hint="eastAsia" w:ascii="仿宋" w:hAnsi="仿宋" w:eastAsia="仿宋" w:cs="仿宋"/>
          <w:sz w:val="28"/>
          <w:szCs w:val="28"/>
        </w:rPr>
        <w:t>本机关于2024年11月13日正式受理，</w:t>
      </w:r>
      <w:r>
        <w:rPr>
          <w:rFonts w:hint="eastAsia" w:ascii="仿宋" w:hAnsi="仿宋" w:eastAsia="仿宋" w:cs="仿宋"/>
          <w:sz w:val="28"/>
          <w:szCs w:val="28"/>
          <w:shd w:val="clear" w:color="auto" w:fill="FFFFFF"/>
        </w:rPr>
        <w:t>现已审查结束。</w:t>
      </w:r>
    </w:p>
    <w:p w14:paraId="6CACE6AC">
      <w:pPr>
        <w:keepNext w:val="0"/>
        <w:keepLines w:val="0"/>
        <w:pageBreakBefore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shd w:val="clear" w:color="auto" w:fill="FFFFFF"/>
        </w:rPr>
      </w:pPr>
      <w:r>
        <w:rPr>
          <w:rFonts w:hint="eastAsia" w:ascii="仿宋" w:hAnsi="仿宋" w:eastAsia="仿宋" w:cs="仿宋"/>
          <w:sz w:val="28"/>
          <w:szCs w:val="28"/>
          <w:shd w:val="clear" w:color="auto" w:fill="FFFFFF"/>
        </w:rPr>
        <w:t>该项目于2024年10月19日在江西省公共资源交易网发布采购公告，11月11日在江西省公共资源交易网发布中标公告，同日向中标人发出中标通知书。2024年11月29日，暂停该项目30天。</w:t>
      </w:r>
    </w:p>
    <w:p w14:paraId="1C9CF45C">
      <w:pPr>
        <w:keepNext w:val="0"/>
        <w:keepLines w:val="0"/>
        <w:pageBreakBefore w:val="0"/>
        <w:kinsoku/>
        <w:wordWrap/>
        <w:overflowPunct/>
        <w:topLinePunct w:val="0"/>
        <w:autoSpaceDE/>
        <w:autoSpaceDN/>
        <w:bidi w:val="0"/>
        <w:adjustRightInd/>
        <w:snapToGrid/>
        <w:spacing w:line="240" w:lineRule="auto"/>
        <w:ind w:firstLine="552" w:firstLineChars="200"/>
        <w:textAlignment w:val="auto"/>
        <w:rPr>
          <w:rFonts w:hint="eastAsia" w:ascii="仿宋" w:hAnsi="仿宋" w:eastAsia="仿宋" w:cs="仿宋"/>
          <w:spacing w:val="-2"/>
          <w:sz w:val="28"/>
          <w:szCs w:val="28"/>
        </w:rPr>
      </w:pPr>
      <w:r>
        <w:rPr>
          <w:rFonts w:hint="eastAsia" w:ascii="仿宋" w:hAnsi="仿宋" w:eastAsia="仿宋" w:cs="仿宋"/>
          <w:bCs/>
          <w:spacing w:val="-2"/>
          <w:sz w:val="28"/>
          <w:szCs w:val="28"/>
        </w:rPr>
        <w:t>投诉事项</w:t>
      </w:r>
      <w:r>
        <w:rPr>
          <w:rFonts w:hint="eastAsia" w:ascii="仿宋" w:hAnsi="仿宋" w:eastAsia="仿宋" w:cs="仿宋"/>
          <w:spacing w:val="-2"/>
          <w:sz w:val="28"/>
          <w:szCs w:val="28"/>
        </w:rPr>
        <w:t>：（1）该项目是采购设备的运维服务，主体是运维服务商，而非设备制造商，是直接提供设备现场运维服务的供应商团队自身的技术水平、服务意识和公司实力等才是供应商能否服务好本项目的关键因素，而非产品制造商是否能够出具针对本项目技术支持服务的承诺函。该项目要运维的空气站设备是非常成熟的产品，已经在市场上使用多年，经查阅江西公共资源平台同类型项目，市场上很多专业运维公司已经运维了多年同类型项目的设备，市场验证了这些专业运维公司有能力运维此类设备，而不是依据招标文件要求提供设备厂家技术服务支持承诺函来保障。同时根据《中华人民共和国产品质量法》的相关规定，生产者应当对其生产的产品质量负责。此外，从消费者权益保护的角度出发，厂家作为产品的生产者，在提供产品的同时，也隐含了对产品质量的保证。因此，当产品出现需要厂家支持问题时，厂家有义务提供相应的售后服务，以保障消费者的权益。况且该项目设备已过质保期，如果需返厂维修或更换新配件，无论哪个运维商承接都需运维商自行承担费用问题。综上所述，投标时提供设备厂家技术支持服务承诺函并不是运维商技术服务的保障，和回复函提到的87号令指的服务质量不是直接关联。</w:t>
      </w:r>
    </w:p>
    <w:p w14:paraId="5C1D9B76">
      <w:pPr>
        <w:keepNext w:val="0"/>
        <w:keepLines w:val="0"/>
        <w:pageBreakBefore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pacing w:val="0"/>
          <w:sz w:val="28"/>
          <w:szCs w:val="28"/>
        </w:rPr>
      </w:pPr>
      <w:r>
        <w:rPr>
          <w:rFonts w:hint="eastAsia" w:ascii="仿宋" w:hAnsi="仿宋" w:eastAsia="仿宋" w:cs="仿宋"/>
          <w:spacing w:val="0"/>
          <w:sz w:val="28"/>
          <w:szCs w:val="28"/>
        </w:rPr>
        <w:t>（2）该评标标准存在指向特定供应商、特定产品。根据招标文件第五章节第二、采购要求可知，本项目核心设备同型号生产厂家是赛默飞世尔科技（PM2.5监测仪、PM10监测仪、臭氧03监测仪）和北京富奥通科技（气象五参数仪）（详见附件质疑函招标文件内容截图），导致主动权完全分别掌握在赛默飞世尔科技和北京富奥通科技这2家公司手上，他们有权利只选择提供技术服务支持承诺函给其代理商、其友好合作过的合作商或其有利益往来的其他公司，从而导致其它有运维能力的投标人在投标阶段无法取得赛默飞世尔科技和北京富奥通科技的技术服务支持承诺函。</w:t>
      </w:r>
    </w:p>
    <w:p w14:paraId="443EA121">
      <w:pPr>
        <w:keepNext w:val="0"/>
        <w:keepLines w:val="0"/>
        <w:pageBreakBefore w:val="0"/>
        <w:kinsoku/>
        <w:wordWrap/>
        <w:overflowPunct/>
        <w:topLinePunct w:val="0"/>
        <w:autoSpaceDE/>
        <w:autoSpaceDN/>
        <w:bidi w:val="0"/>
        <w:adjustRightInd/>
        <w:snapToGrid/>
        <w:spacing w:line="240" w:lineRule="auto"/>
        <w:ind w:firstLine="544" w:firstLineChars="200"/>
        <w:textAlignment w:val="auto"/>
        <w:rPr>
          <w:rFonts w:hint="eastAsia" w:ascii="仿宋" w:hAnsi="仿宋" w:eastAsia="仿宋" w:cs="仿宋"/>
          <w:spacing w:val="-4"/>
          <w:sz w:val="28"/>
          <w:szCs w:val="28"/>
        </w:rPr>
      </w:pPr>
      <w:r>
        <w:rPr>
          <w:rFonts w:hint="eastAsia" w:ascii="仿宋" w:hAnsi="仿宋" w:eastAsia="仿宋" w:cs="仿宋"/>
          <w:spacing w:val="-4"/>
          <w:sz w:val="28"/>
          <w:szCs w:val="28"/>
        </w:rPr>
        <w:t>（3）回复函第2条引用87号令，并提出只是加分项，而非必要项。招标文件评分规则为，取得其它生产厂家技术支持服务承诺函的只能得2分/每种设备，四种设备总得分合计8分，与取得本项目设备同型号生产厂家技术支持服务承诺函的相差12分（本项目满分50分，技术分满分35分），如此大的分数差距，明显倾向有本项目设备同型号生产厂家技术支持服务承诺函的投标人，而本项目设备同型号的生产厂家又只有一家。</w:t>
      </w:r>
    </w:p>
    <w:p w14:paraId="599769DC">
      <w:pPr>
        <w:keepNext w:val="0"/>
        <w:keepLines w:val="0"/>
        <w:pageBreakBefore w:val="0"/>
        <w:kinsoku/>
        <w:wordWrap/>
        <w:overflowPunct/>
        <w:topLinePunct w:val="0"/>
        <w:autoSpaceDE/>
        <w:autoSpaceDN/>
        <w:bidi w:val="0"/>
        <w:adjustRightInd/>
        <w:snapToGrid/>
        <w:spacing w:line="240" w:lineRule="auto"/>
        <w:ind w:firstLine="552" w:firstLineChars="200"/>
        <w:textAlignment w:val="auto"/>
        <w:rPr>
          <w:rFonts w:hint="eastAsia" w:ascii="仿宋" w:hAnsi="仿宋" w:eastAsia="仿宋" w:cs="仿宋"/>
          <w:spacing w:val="-4"/>
          <w:sz w:val="28"/>
          <w:szCs w:val="28"/>
        </w:rPr>
      </w:pPr>
      <w:r>
        <w:rPr>
          <w:rFonts w:hint="eastAsia" w:ascii="仿宋" w:hAnsi="仿宋" w:eastAsia="仿宋" w:cs="仿宋"/>
          <w:spacing w:val="-2"/>
          <w:sz w:val="28"/>
          <w:szCs w:val="28"/>
        </w:rPr>
        <w:t>（4）回复函第3条指出通过江西公共资源交易平台查询同类型项目，得出很多供应商能够得到产品制造商的技术支持服务的结论。得到产品制造商的技术支持服务和投标时取得产品制造商的技术支持服务承诺函是两个不同的概念。产品制造商对其生产的产品需提供售后技术支持服务是受《中华人民共和国产品质量法》和《中华人民共和国消费者权益保护法》约束，而为他人或者单位投标时提供技术支持服务承诺函不受法律约束，由制造商自行决定即可，故而制造商存在很强的主观性。而且，回复说明通过江西公共资源</w:t>
      </w:r>
      <w:r>
        <w:rPr>
          <w:rFonts w:hint="eastAsia" w:ascii="仿宋" w:hAnsi="仿宋" w:eastAsia="仿宋" w:cs="仿宋"/>
          <w:spacing w:val="-4"/>
          <w:sz w:val="28"/>
          <w:szCs w:val="28"/>
        </w:rPr>
        <w:t>交易平台查询同类型项目情况（我方理解的是上述评分规则一样），也只能说明极少数甚至个别中标人（根据目前该项目中标结果和以往同类型项目中标结果来看一般都是武汉马尔欣科技有限公司，通过公共资源网可以查到该公司出售赛默飞世尔科技的空气站设备，同时还运维该品牌的空气站设备）投标时取得了同型号的制造商技术支持服务承诺函，不能说明其他投标人能取得，这项是否能得高分的决定权同样掌握在同型号制造商手里。</w:t>
      </w:r>
    </w:p>
    <w:p w14:paraId="462D6E1B">
      <w:pPr>
        <w:keepNext w:val="0"/>
        <w:keepLines w:val="0"/>
        <w:pageBreakBefore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pacing w:val="0"/>
          <w:sz w:val="28"/>
          <w:szCs w:val="28"/>
        </w:rPr>
      </w:pPr>
      <w:r>
        <w:rPr>
          <w:rFonts w:hint="eastAsia" w:ascii="仿宋" w:hAnsi="仿宋" w:eastAsia="仿宋" w:cs="仿宋"/>
          <w:spacing w:val="0"/>
          <w:sz w:val="28"/>
          <w:szCs w:val="28"/>
        </w:rPr>
        <w:t>（5）回复函第4条提到投标人能否为项目提供备机用同型号的备机有利于更高质量完成运维服务的关键，且是加分项，而非必要项。事实证明只要符合国家环境保护部标准和相关技术规范要求的其它厂家的设备也能兼容和安装于该系统使用，并且监测效果是一样的，起到了备机的作用。所以完全没有必要要求是本项目设备同型号生产厂家的的备机，而且得分相差一半（同型号的8分，不同型号的4分，项目总分50，技术分35分），导致出现明显倾向性。</w:t>
      </w:r>
    </w:p>
    <w:p w14:paraId="7751202F">
      <w:pPr>
        <w:keepNext w:val="0"/>
        <w:keepLines w:val="0"/>
        <w:pageBreakBefore w:val="0"/>
        <w:kinsoku/>
        <w:wordWrap/>
        <w:overflowPunct/>
        <w:topLinePunct w:val="0"/>
        <w:autoSpaceDE/>
        <w:autoSpaceDN/>
        <w:bidi w:val="0"/>
        <w:adjustRightInd/>
        <w:snapToGrid/>
        <w:spacing w:line="240" w:lineRule="auto"/>
        <w:ind w:firstLine="544" w:firstLineChars="200"/>
        <w:textAlignment w:val="auto"/>
        <w:rPr>
          <w:rFonts w:hint="eastAsia" w:ascii="仿宋" w:hAnsi="仿宋" w:eastAsia="仿宋" w:cs="仿宋"/>
          <w:spacing w:val="-4"/>
          <w:sz w:val="28"/>
          <w:szCs w:val="28"/>
        </w:rPr>
      </w:pPr>
      <w:r>
        <w:rPr>
          <w:rFonts w:hint="eastAsia" w:ascii="仿宋" w:hAnsi="仿宋" w:eastAsia="仿宋" w:cs="仿宋"/>
          <w:spacing w:val="-4"/>
          <w:sz w:val="28"/>
          <w:szCs w:val="28"/>
        </w:rPr>
        <w:t>（6）回复函答复提供拟投入人员“环境空气自动监测运维与质控”培训合格证书的评分项是加分项，未限制潜在供应商。但事实是获得环境空气运维资格培训合格证书的途径不止通过中国环境监测总站唯一一个途径，还可通过中国环境保护产业协会和各省环境保护产业协会组织的培训和考核合格后即能颁发名为“自动监控（环境空气）运行工”的培训合格证书。既然中国环境保护产业协会和各省环境保护产业协会都有权颁发此类运维证书，则说明该部门颁发的运维证书同样具有权威性、实用性和法律效应。同时，无相关国家规范或环保部门规定只有中国环境监测总站颁发的才更有效的说法，而是同样有效，具有同样的权威性。</w:t>
      </w:r>
    </w:p>
    <w:p w14:paraId="66953DB9">
      <w:pPr>
        <w:keepNext w:val="0"/>
        <w:keepLines w:val="0"/>
        <w:pageBreakBefore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bCs/>
          <w:sz w:val="28"/>
          <w:szCs w:val="28"/>
        </w:rPr>
      </w:pPr>
      <w:r>
        <w:rPr>
          <w:rFonts w:hint="eastAsia" w:ascii="仿宋" w:hAnsi="仿宋" w:eastAsia="仿宋" w:cs="仿宋"/>
          <w:bCs/>
          <w:sz w:val="28"/>
          <w:szCs w:val="28"/>
        </w:rPr>
        <w:t>投诉请求：综上所述，由于该招标文件的评分多处存在明显的倾向性，以不合理的条件对供应商实行差别待遇，严重侵犯了其他潜在投标的人权益，违背了政府采购公开公正的原则，故请求变更招标文件中评分标准里技术部分序号第1-3条，重新招标。</w:t>
      </w:r>
    </w:p>
    <w:p w14:paraId="25200E84">
      <w:pPr>
        <w:keepNext w:val="0"/>
        <w:keepLines w:val="0"/>
        <w:pageBreakBefore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bCs/>
          <w:sz w:val="28"/>
          <w:szCs w:val="28"/>
        </w:rPr>
      </w:pPr>
      <w:r>
        <w:rPr>
          <w:rFonts w:hint="eastAsia" w:ascii="仿宋" w:hAnsi="仿宋" w:eastAsia="仿宋" w:cs="仿宋"/>
          <w:sz w:val="28"/>
          <w:szCs w:val="28"/>
        </w:rPr>
        <w:t>被投诉人称</w:t>
      </w:r>
      <w:r>
        <w:rPr>
          <w:rFonts w:hint="eastAsia" w:ascii="仿宋" w:hAnsi="仿宋" w:eastAsia="仿宋" w:cs="仿宋"/>
          <w:bCs/>
          <w:sz w:val="28"/>
          <w:szCs w:val="28"/>
        </w:rPr>
        <w:t>：</w:t>
      </w:r>
    </w:p>
    <w:p w14:paraId="515B12D3">
      <w:pPr>
        <w:keepNext w:val="0"/>
        <w:keepLines w:val="0"/>
        <w:pageBreakBefore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bCs/>
          <w:sz w:val="28"/>
          <w:szCs w:val="28"/>
        </w:rPr>
      </w:pPr>
      <w:r>
        <w:rPr>
          <w:rFonts w:hint="eastAsia" w:ascii="仿宋" w:hAnsi="仿宋" w:eastAsia="仿宋" w:cs="仿宋"/>
          <w:bCs/>
          <w:sz w:val="28"/>
          <w:szCs w:val="28"/>
        </w:rPr>
        <w:t>1.贵公司尚未完全理解本项目的采购需求，产品制造商能够针对本项目提供技术支持服务，是供应商能否成功服务好本项目的关键因素，根据《政府采购货物和服务招标投标管理办法》（财政部第87号令）第十七条规定采购人、采购代理机构不得将投标人的注册资本、资产总额、营业收入、从业人员、利润、纳税额等规模条件作为资格要求或者评审因素，也不得通过将除进口货物以外的生产厂家授权、承诺、证明、背书等作为资格要求，对投标人实行差别待遇或者歧视待遇。财政部第87号令并未禁止将制造商服务支持承诺函作为评审因素。</w:t>
      </w:r>
    </w:p>
    <w:p w14:paraId="4C747416">
      <w:pPr>
        <w:keepNext w:val="0"/>
        <w:keepLines w:val="0"/>
        <w:pageBreakBefore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bCs/>
          <w:sz w:val="28"/>
          <w:szCs w:val="28"/>
        </w:rPr>
      </w:pPr>
      <w:r>
        <w:rPr>
          <w:rFonts w:hint="eastAsia" w:ascii="仿宋" w:hAnsi="仿宋" w:eastAsia="仿宋" w:cs="仿宋"/>
          <w:bCs/>
          <w:sz w:val="28"/>
          <w:szCs w:val="28"/>
        </w:rPr>
        <w:t>2.根据《政府采购货物和服务招标投标管理办法》（财政部第87号令）第五十五条评审因素的设定应当与投标人所提供货物服务的质量相关，包括投标报价、技术或者服务水平、履约能力、售后服务等。本评分项是从投标人履约能力的角度考量的。投标人要取得本项目设备同型号生产厂家技术支持服务，即投标人对所需型号设备情况更了解，有利于投标人更高质量完成运维服务，且此部分是加分项，而非必要项，并没有限制潜在供应商来参与投标。</w:t>
      </w:r>
    </w:p>
    <w:p w14:paraId="43CBF69D">
      <w:pPr>
        <w:keepNext w:val="0"/>
        <w:keepLines w:val="0"/>
        <w:pageBreakBefore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bCs/>
          <w:sz w:val="28"/>
          <w:szCs w:val="28"/>
        </w:rPr>
      </w:pPr>
      <w:r>
        <w:rPr>
          <w:rFonts w:hint="eastAsia" w:ascii="仿宋" w:hAnsi="仿宋" w:eastAsia="仿宋" w:cs="仿宋"/>
          <w:bCs/>
          <w:sz w:val="28"/>
          <w:szCs w:val="28"/>
        </w:rPr>
        <w:t>3.通过江西省公共资源交易平台查询同类项目的采购情况，很多供应商均能够得到产品制造商的技术支持服务，故此评分并非是贵司所述的以不合理条件限制、排斥潜在投标人的情形。</w:t>
      </w:r>
    </w:p>
    <w:p w14:paraId="37091311">
      <w:pPr>
        <w:keepNext w:val="0"/>
        <w:keepLines w:val="0"/>
        <w:pageBreakBefore w:val="0"/>
        <w:kinsoku/>
        <w:wordWrap/>
        <w:overflowPunct/>
        <w:topLinePunct w:val="0"/>
        <w:autoSpaceDE/>
        <w:autoSpaceDN/>
        <w:bidi w:val="0"/>
        <w:adjustRightInd/>
        <w:snapToGrid/>
        <w:spacing w:line="240" w:lineRule="auto"/>
        <w:ind w:firstLine="588" w:firstLineChars="200"/>
        <w:textAlignment w:val="auto"/>
        <w:rPr>
          <w:rFonts w:hint="eastAsia" w:ascii="仿宋" w:hAnsi="仿宋" w:eastAsia="仿宋" w:cs="仿宋"/>
          <w:bCs/>
          <w:spacing w:val="-2"/>
          <w:sz w:val="28"/>
          <w:szCs w:val="28"/>
        </w:rPr>
      </w:pPr>
      <w:r>
        <w:rPr>
          <w:rFonts w:hint="eastAsia" w:ascii="仿宋" w:hAnsi="仿宋" w:eastAsia="仿宋" w:cs="仿宋"/>
          <w:spacing w:val="7"/>
          <w:sz w:val="28"/>
          <w:szCs w:val="28"/>
        </w:rPr>
        <w:t>4.投标人能否为项目提供备用同型号的备机，有利</w:t>
      </w:r>
      <w:r>
        <w:rPr>
          <w:rFonts w:hint="eastAsia" w:ascii="仿宋" w:hAnsi="仿宋" w:eastAsia="仿宋" w:cs="仿宋"/>
          <w:spacing w:val="-5"/>
          <w:sz w:val="28"/>
          <w:szCs w:val="28"/>
        </w:rPr>
        <w:t>于更高质量完成运维服务的关键，也有利于保证采购人</w:t>
      </w:r>
      <w:r>
        <w:rPr>
          <w:rFonts w:hint="eastAsia" w:ascii="仿宋" w:hAnsi="仿宋" w:eastAsia="仿宋" w:cs="仿宋"/>
          <w:spacing w:val="-6"/>
          <w:sz w:val="28"/>
          <w:szCs w:val="28"/>
        </w:rPr>
        <w:t>所监</w:t>
      </w:r>
      <w:r>
        <w:rPr>
          <w:rFonts w:hint="eastAsia" w:ascii="仿宋" w:hAnsi="仿宋" w:eastAsia="仿宋" w:cs="仿宋"/>
          <w:spacing w:val="-11"/>
          <w:sz w:val="28"/>
          <w:szCs w:val="28"/>
        </w:rPr>
        <w:t>测数据的连续性和稳定性，且此部分是加分项，而</w:t>
      </w:r>
      <w:r>
        <w:rPr>
          <w:rFonts w:hint="eastAsia" w:ascii="仿宋" w:hAnsi="仿宋" w:eastAsia="仿宋" w:cs="仿宋"/>
          <w:spacing w:val="-12"/>
          <w:sz w:val="28"/>
          <w:szCs w:val="28"/>
        </w:rPr>
        <w:t>非必要项，</w:t>
      </w:r>
      <w:r>
        <w:rPr>
          <w:rFonts w:hint="eastAsia" w:ascii="仿宋" w:hAnsi="仿宋" w:eastAsia="仿宋" w:cs="仿宋"/>
          <w:spacing w:val="-5"/>
          <w:sz w:val="28"/>
          <w:szCs w:val="28"/>
        </w:rPr>
        <w:t>并没有限制潜在供应商来参与投标，故此评分并非是贵</w:t>
      </w:r>
      <w:r>
        <w:rPr>
          <w:rFonts w:hint="eastAsia" w:ascii="仿宋" w:hAnsi="仿宋" w:eastAsia="仿宋" w:cs="仿宋"/>
          <w:spacing w:val="-6"/>
          <w:sz w:val="28"/>
          <w:szCs w:val="28"/>
        </w:rPr>
        <w:t>司所</w:t>
      </w:r>
      <w:r>
        <w:rPr>
          <w:rFonts w:hint="eastAsia" w:ascii="仿宋" w:hAnsi="仿宋" w:eastAsia="仿宋" w:cs="仿宋"/>
          <w:spacing w:val="-4"/>
          <w:sz w:val="28"/>
          <w:szCs w:val="28"/>
        </w:rPr>
        <w:t>述的以不合理条件限制、排斥潜在投标人的</w:t>
      </w:r>
      <w:r>
        <w:rPr>
          <w:rFonts w:hint="eastAsia" w:ascii="仿宋" w:hAnsi="仿宋" w:eastAsia="仿宋" w:cs="仿宋"/>
          <w:spacing w:val="-5"/>
          <w:sz w:val="28"/>
          <w:szCs w:val="28"/>
        </w:rPr>
        <w:t>情形。据市场了解，很多运维供应商均可以采购人提供同型号的备机为采购方提供服务。</w:t>
      </w:r>
    </w:p>
    <w:p w14:paraId="6A6372B3">
      <w:pPr>
        <w:keepNext w:val="0"/>
        <w:keepLines w:val="0"/>
        <w:pageBreakBefore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rPr>
        <w:t>经审查，本机关认为：</w:t>
      </w:r>
    </w:p>
    <w:p w14:paraId="263DCA1B">
      <w:pPr>
        <w:keepNext w:val="0"/>
        <w:keepLines w:val="0"/>
        <w:pageBreakBefore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本项目为乡镇环境空气自动监测站运行维护服务项目。服务内容为空气站的运行维护管理……运维设备主要包括所有监测、气象仪器和辅助设备设施三部分。招标文件将投标时提供设备厂家技术支持服务承诺函作为评审因素，变相要求原厂服务，在一定程度上对部分供应商存在差别待遇或歧视待遇。</w:t>
      </w:r>
    </w:p>
    <w:p w14:paraId="2496E9FA">
      <w:pPr>
        <w:keepNext w:val="0"/>
        <w:keepLines w:val="0"/>
        <w:pageBreakBefore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highlight w:val="none"/>
        </w:rPr>
        <w:t>2.招标文件技术部分2备机、备品备件的配备要求提供设备的采购合同、采购发票扫描件。鉴于提供备机、备品备件的配备要求可以在供应商中标后购买或取得，如将采购合同、采购发票扫描件在投标时作为佐证材料，将对潜在供应商形成差别待遇，同时还将在一定程度上提升投标成本。</w:t>
      </w:r>
    </w:p>
    <w:p w14:paraId="651B6812">
      <w:pPr>
        <w:keepNext w:val="0"/>
        <w:keepLines w:val="0"/>
        <w:pageBreakBefore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环境空气自动监测运维与质控”培训合格证书为中国环境监测总站颁发。根据招标文件：“3、专业运维人员配备：投标人拟投入本项目的专业运维人员2名的得2分，每少一名扣1分，满分2分。评审依据：提供拟投入人员‘环境空气自动监测运维与质控’培训合格证书……”的设定来看，本项目实际需求系供应商团队具备“环境空气自动监测运维与质控”能力的专业运维人员。而以“环境空气自动监测运维与质控”培训合格证书作为佐证材料，将限制其他不同名称但同样具备“环境空气自动监测运维与质控”能力的佐证材料。</w:t>
      </w:r>
    </w:p>
    <w:p w14:paraId="272197C1">
      <w:pPr>
        <w:keepNext w:val="0"/>
        <w:keepLines w:val="0"/>
        <w:pageBreakBefore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综上，前述招标文件设定存在不合理条件限制或排斥潜在供应商的情形，投诉成立。</w:t>
      </w:r>
    </w:p>
    <w:p w14:paraId="2CD7FCB8">
      <w:pPr>
        <w:keepNext w:val="0"/>
        <w:keepLines w:val="0"/>
        <w:pageBreakBefore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以上事实有下列证据为证：</w:t>
      </w:r>
    </w:p>
    <w:p w14:paraId="0A0A12B8">
      <w:pPr>
        <w:keepNext w:val="0"/>
        <w:keepLines w:val="0"/>
        <w:pageBreakBefore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1.投诉人《投诉书》</w:t>
      </w:r>
    </w:p>
    <w:p w14:paraId="02EFC98B">
      <w:pPr>
        <w:keepNext w:val="0"/>
        <w:keepLines w:val="0"/>
        <w:pageBreakBefore w:val="0"/>
        <w:kinsoku/>
        <w:wordWrap/>
        <w:overflowPunct/>
        <w:topLinePunct w:val="0"/>
        <w:autoSpaceDE/>
        <w:autoSpaceDN/>
        <w:bidi w:val="0"/>
        <w:adjustRightInd/>
        <w:snapToGrid/>
        <w:spacing w:line="240" w:lineRule="auto"/>
        <w:ind w:firstLine="552" w:firstLineChars="200"/>
        <w:textAlignment w:val="auto"/>
        <w:rPr>
          <w:rFonts w:hint="eastAsia" w:ascii="仿宋" w:hAnsi="仿宋" w:eastAsia="仿宋" w:cs="仿宋"/>
          <w:spacing w:val="-4"/>
          <w:sz w:val="28"/>
          <w:szCs w:val="28"/>
        </w:rPr>
      </w:pPr>
      <w:r>
        <w:rPr>
          <w:rFonts w:hint="eastAsia" w:ascii="仿宋" w:hAnsi="仿宋" w:eastAsia="仿宋" w:cs="仿宋"/>
          <w:spacing w:val="-2"/>
          <w:sz w:val="28"/>
          <w:szCs w:val="28"/>
        </w:rPr>
        <w:t>2</w:t>
      </w:r>
      <w:r>
        <w:rPr>
          <w:rFonts w:hint="eastAsia" w:ascii="仿宋" w:hAnsi="仿宋" w:eastAsia="仿宋" w:cs="仿宋"/>
          <w:sz w:val="28"/>
          <w:szCs w:val="28"/>
        </w:rPr>
        <w:t>.被投诉人</w:t>
      </w:r>
      <w:r>
        <w:rPr>
          <w:rFonts w:hint="eastAsia" w:ascii="仿宋" w:hAnsi="仿宋" w:eastAsia="仿宋" w:cs="仿宋"/>
          <w:spacing w:val="-4"/>
          <w:sz w:val="28"/>
          <w:szCs w:val="28"/>
        </w:rPr>
        <w:t>《宜春市高安生态环境局高安市乡镇空气站第三方运维服务采购项目（项目编号：高安中心-GA2024-059）质疑回复函》</w:t>
      </w:r>
    </w:p>
    <w:p w14:paraId="4263A8B2">
      <w:pPr>
        <w:keepNext w:val="0"/>
        <w:keepLines w:val="0"/>
        <w:pageBreakBefore w:val="0"/>
        <w:kinsoku/>
        <w:wordWrap/>
        <w:overflowPunct/>
        <w:topLinePunct w:val="0"/>
        <w:autoSpaceDE/>
        <w:autoSpaceDN/>
        <w:bidi w:val="0"/>
        <w:adjustRightInd/>
        <w:snapToGrid/>
        <w:spacing w:line="240" w:lineRule="auto"/>
        <w:ind w:firstLine="544" w:firstLineChars="200"/>
        <w:textAlignment w:val="auto"/>
        <w:rPr>
          <w:rFonts w:hint="eastAsia" w:ascii="仿宋" w:hAnsi="仿宋" w:eastAsia="仿宋" w:cs="仿宋"/>
          <w:sz w:val="28"/>
          <w:szCs w:val="28"/>
        </w:rPr>
      </w:pPr>
      <w:r>
        <w:rPr>
          <w:rFonts w:hint="eastAsia" w:ascii="仿宋" w:hAnsi="仿宋" w:eastAsia="仿宋" w:cs="仿宋"/>
          <w:spacing w:val="-4"/>
          <w:sz w:val="28"/>
          <w:szCs w:val="28"/>
        </w:rPr>
        <w:t>3.</w:t>
      </w:r>
      <w:r>
        <w:rPr>
          <w:rFonts w:hint="eastAsia" w:ascii="仿宋" w:hAnsi="仿宋" w:eastAsia="仿宋" w:cs="仿宋"/>
          <w:sz w:val="28"/>
          <w:szCs w:val="28"/>
        </w:rPr>
        <w:t>本项目招标文件</w:t>
      </w:r>
    </w:p>
    <w:p w14:paraId="6460078F">
      <w:pPr>
        <w:keepNext w:val="0"/>
        <w:keepLines w:val="0"/>
        <w:pageBreakBefore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4.被投诉人《高安生态环境局乡镇空气站运维采购需求情况汇报》</w:t>
      </w:r>
    </w:p>
    <w:p w14:paraId="3E1DBF71">
      <w:pPr>
        <w:keepNext w:val="0"/>
        <w:keepLines w:val="0"/>
        <w:pageBreakBefore w:val="0"/>
        <w:kinsoku/>
        <w:wordWrap/>
        <w:overflowPunct/>
        <w:topLinePunct w:val="0"/>
        <w:autoSpaceDE/>
        <w:autoSpaceDN/>
        <w:bidi w:val="0"/>
        <w:adjustRightInd/>
        <w:snapToGrid/>
        <w:spacing w:line="240" w:lineRule="auto"/>
        <w:ind w:firstLine="560" w:firstLineChars="200"/>
        <w:textAlignment w:val="auto"/>
        <w:rPr>
          <w:rFonts w:eastAsia="黑体"/>
          <w:sz w:val="28"/>
          <w:szCs w:val="28"/>
        </w:rPr>
      </w:pPr>
      <w:r>
        <w:rPr>
          <w:rFonts w:eastAsia="黑体"/>
          <w:sz w:val="28"/>
          <w:szCs w:val="28"/>
        </w:rPr>
        <w:t>五、处理依据及结果</w:t>
      </w:r>
    </w:p>
    <w:p w14:paraId="2784C393">
      <w:pPr>
        <w:keepNext w:val="0"/>
        <w:keepLines w:val="0"/>
        <w:pageBreakBefore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根据《政府采购质疑和投诉办法》（财政部令第94号）第三十一条第一款第（二）项之规定，本机关决定：投诉成立，该项目中标结果无效，责令重新开展采购活动。</w:t>
      </w:r>
    </w:p>
    <w:p w14:paraId="52944B00">
      <w:pPr>
        <w:keepNext w:val="0"/>
        <w:keepLines w:val="0"/>
        <w:pageBreakBefore w:val="0"/>
        <w:numPr>
          <w:ilvl w:val="0"/>
          <w:numId w:val="1"/>
        </w:numPr>
        <w:kinsoku/>
        <w:wordWrap/>
        <w:overflowPunct/>
        <w:topLinePunct w:val="0"/>
        <w:autoSpaceDE/>
        <w:autoSpaceDN/>
        <w:bidi w:val="0"/>
        <w:adjustRightInd/>
        <w:snapToGrid/>
        <w:spacing w:line="240" w:lineRule="auto"/>
        <w:ind w:firstLine="560" w:firstLineChars="200"/>
        <w:textAlignment w:val="auto"/>
        <w:rPr>
          <w:rFonts w:hint="eastAsia" w:ascii="黑体" w:hAnsi="黑体" w:eastAsia="黑体" w:cs="仿宋"/>
          <w:sz w:val="28"/>
          <w:szCs w:val="28"/>
        </w:rPr>
      </w:pPr>
      <w:r>
        <w:rPr>
          <w:rFonts w:hint="eastAsia" w:ascii="黑体" w:hAnsi="黑体" w:eastAsia="黑体" w:cs="仿宋"/>
          <w:sz w:val="28"/>
          <w:szCs w:val="28"/>
        </w:rPr>
        <w:t>其他补充事宜</w:t>
      </w:r>
    </w:p>
    <w:p w14:paraId="326CD5C4">
      <w:pPr>
        <w:keepNext w:val="0"/>
        <w:keepLines w:val="0"/>
        <w:pageBreakBefore w:val="0"/>
        <w:numPr>
          <w:ilvl w:val="0"/>
          <w:numId w:val="0"/>
        </w:numPr>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如对上述处理决定不服，当事人可在收到本决定书起60日内依法向宜春市人民政府申请行政复议或者六个月内依法向上高县人民法院提起行政诉讼。</w:t>
      </w:r>
    </w:p>
    <w:p w14:paraId="64F6AA55">
      <w:pPr>
        <w:keepNext w:val="0"/>
        <w:keepLines w:val="0"/>
        <w:pageBreakBefore w:val="0"/>
        <w:kinsoku/>
        <w:wordWrap/>
        <w:overflowPunct/>
        <w:topLinePunct w:val="0"/>
        <w:autoSpaceDE/>
        <w:autoSpaceDN/>
        <w:bidi w:val="0"/>
        <w:adjustRightInd/>
        <w:snapToGrid/>
        <w:spacing w:line="240" w:lineRule="auto"/>
        <w:textAlignment w:val="auto"/>
        <w:rPr>
          <w:rFonts w:hint="eastAsia"/>
          <w:sz w:val="28"/>
          <w:szCs w:val="28"/>
        </w:rPr>
      </w:pPr>
    </w:p>
    <w:p w14:paraId="241691C6">
      <w:pPr>
        <w:keepNext w:val="0"/>
        <w:keepLines w:val="0"/>
        <w:pageBreakBefore w:val="0"/>
        <w:kinsoku/>
        <w:wordWrap/>
        <w:overflowPunct/>
        <w:topLinePunct w:val="0"/>
        <w:autoSpaceDE/>
        <w:autoSpaceDN/>
        <w:bidi w:val="0"/>
        <w:adjustRightInd/>
        <w:snapToGrid/>
        <w:spacing w:line="240" w:lineRule="auto"/>
        <w:textAlignment w:val="auto"/>
        <w:rPr>
          <w:rFonts w:hint="eastAsia"/>
          <w:sz w:val="28"/>
          <w:szCs w:val="28"/>
        </w:rPr>
      </w:pPr>
    </w:p>
    <w:p w14:paraId="14D7EEF0">
      <w:pPr>
        <w:keepNext w:val="0"/>
        <w:keepLines w:val="0"/>
        <w:pageBreakBefore w:val="0"/>
        <w:widowControl/>
        <w:kinsoku/>
        <w:wordWrap/>
        <w:overflowPunct/>
        <w:topLinePunct w:val="0"/>
        <w:autoSpaceDE/>
        <w:autoSpaceDN/>
        <w:bidi w:val="0"/>
        <w:adjustRightInd/>
        <w:snapToGrid/>
        <w:spacing w:line="240" w:lineRule="auto"/>
        <w:ind w:firstLine="5152" w:firstLineChars="1840"/>
        <w:jc w:val="left"/>
        <w:textAlignment w:val="auto"/>
        <w:rPr>
          <w:rFonts w:hint="eastAsia" w:ascii="仿宋" w:hAnsi="仿宋" w:eastAsia="仿宋" w:cs="仿宋"/>
          <w:sz w:val="28"/>
          <w:szCs w:val="28"/>
        </w:rPr>
      </w:pPr>
      <w:bookmarkStart w:id="2" w:name="_GoBack"/>
      <w:bookmarkEnd w:id="2"/>
      <w:r>
        <w:rPr>
          <w:rFonts w:hint="eastAsia" w:ascii="仿宋" w:hAnsi="仿宋" w:eastAsia="仿宋" w:cs="仿宋"/>
          <w:sz w:val="28"/>
          <w:szCs w:val="28"/>
        </w:rPr>
        <w:t>宜春市财政局</w:t>
      </w:r>
    </w:p>
    <w:p w14:paraId="28F32853">
      <w:pPr>
        <w:keepNext w:val="0"/>
        <w:keepLines w:val="0"/>
        <w:pageBreakBefore w:val="0"/>
        <w:kinsoku/>
        <w:wordWrap/>
        <w:overflowPunct/>
        <w:topLinePunct w:val="0"/>
        <w:autoSpaceDE/>
        <w:autoSpaceDN/>
        <w:bidi w:val="0"/>
        <w:adjustRightInd/>
        <w:snapToGrid/>
        <w:spacing w:line="240" w:lineRule="auto"/>
        <w:ind w:firstLine="4760" w:firstLineChars="1700"/>
        <w:textAlignment w:val="auto"/>
        <w:rPr>
          <w:rFonts w:hint="eastAsia" w:ascii="仿宋" w:hAnsi="仿宋" w:eastAsia="仿宋" w:cs="仿宋"/>
          <w:sz w:val="28"/>
          <w:szCs w:val="28"/>
        </w:rPr>
      </w:pPr>
      <w:r>
        <w:rPr>
          <w:rFonts w:hint="eastAsia" w:ascii="仿宋" w:hAnsi="仿宋" w:eastAsia="仿宋" w:cs="仿宋"/>
          <w:sz w:val="28"/>
          <w:szCs w:val="28"/>
        </w:rPr>
        <w:t>2024年12月11日</w:t>
      </w: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69663037"/>
    </w:sdtPr>
    <w:sdtContent>
      <w:p w14:paraId="3BD446F9">
        <w:pPr>
          <w:pStyle w:val="9"/>
          <w:jc w:val="center"/>
        </w:pPr>
        <w:r>
          <w:fldChar w:fldCharType="begin"/>
        </w:r>
        <w:r>
          <w:instrText xml:space="preserve">PAGE   \* MERGEFORMAT</w:instrText>
        </w:r>
        <w:r>
          <w:fldChar w:fldCharType="separate"/>
        </w:r>
        <w:r>
          <w:rPr>
            <w:lang w:val="zh-CN"/>
          </w:rPr>
          <w:t>1</w:t>
        </w:r>
        <w:r>
          <w:fldChar w:fldCharType="end"/>
        </w:r>
      </w:p>
    </w:sdtContent>
  </w:sdt>
  <w:p w14:paraId="73D5BCCB">
    <w:pPr>
      <w:pStyle w:val="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7308A0"/>
    <w:multiLevelType w:val="singleLevel"/>
    <w:tmpl w:val="9F7308A0"/>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djYzY1YjA5MjM4ZWI5ZWY0MWFiYjFiNzE2MmJhYTAifQ=="/>
  </w:docVars>
  <w:rsids>
    <w:rsidRoot w:val="00244094"/>
    <w:rsid w:val="000312DE"/>
    <w:rsid w:val="0005737B"/>
    <w:rsid w:val="000726D8"/>
    <w:rsid w:val="000A6769"/>
    <w:rsid w:val="000D3B95"/>
    <w:rsid w:val="000D5040"/>
    <w:rsid w:val="000D6508"/>
    <w:rsid w:val="00110BD8"/>
    <w:rsid w:val="00151C8B"/>
    <w:rsid w:val="00244094"/>
    <w:rsid w:val="00246690"/>
    <w:rsid w:val="002F4172"/>
    <w:rsid w:val="00322E12"/>
    <w:rsid w:val="003D04C7"/>
    <w:rsid w:val="00430D5D"/>
    <w:rsid w:val="00445621"/>
    <w:rsid w:val="004B0417"/>
    <w:rsid w:val="004F0CA3"/>
    <w:rsid w:val="004F449A"/>
    <w:rsid w:val="005902A4"/>
    <w:rsid w:val="006939FC"/>
    <w:rsid w:val="0079663A"/>
    <w:rsid w:val="007E2D83"/>
    <w:rsid w:val="0080774A"/>
    <w:rsid w:val="00877C6E"/>
    <w:rsid w:val="008974EE"/>
    <w:rsid w:val="008A1192"/>
    <w:rsid w:val="008A2FE7"/>
    <w:rsid w:val="0090581E"/>
    <w:rsid w:val="00966F02"/>
    <w:rsid w:val="009A15C7"/>
    <w:rsid w:val="00A30F31"/>
    <w:rsid w:val="00A3374C"/>
    <w:rsid w:val="00C37A88"/>
    <w:rsid w:val="00C52F06"/>
    <w:rsid w:val="00C61BBE"/>
    <w:rsid w:val="00C95981"/>
    <w:rsid w:val="00D26832"/>
    <w:rsid w:val="00DA7067"/>
    <w:rsid w:val="00DC09FA"/>
    <w:rsid w:val="00E457B7"/>
    <w:rsid w:val="00E702D6"/>
    <w:rsid w:val="00E75E92"/>
    <w:rsid w:val="00ED7C2A"/>
    <w:rsid w:val="00EE3266"/>
    <w:rsid w:val="00F53A4B"/>
    <w:rsid w:val="01DE4120"/>
    <w:rsid w:val="02A97FD3"/>
    <w:rsid w:val="17B20E6E"/>
    <w:rsid w:val="1C8672D8"/>
    <w:rsid w:val="1CC84349"/>
    <w:rsid w:val="216F57E1"/>
    <w:rsid w:val="217C6D52"/>
    <w:rsid w:val="25297DD9"/>
    <w:rsid w:val="30542E26"/>
    <w:rsid w:val="316D5753"/>
    <w:rsid w:val="37253E8A"/>
    <w:rsid w:val="37F73E46"/>
    <w:rsid w:val="3CC94683"/>
    <w:rsid w:val="3D8569E6"/>
    <w:rsid w:val="3FC438CC"/>
    <w:rsid w:val="494A433D"/>
    <w:rsid w:val="4DC501DE"/>
    <w:rsid w:val="54353400"/>
    <w:rsid w:val="59750590"/>
    <w:rsid w:val="5A44567C"/>
    <w:rsid w:val="624618AF"/>
    <w:rsid w:val="6F49019A"/>
    <w:rsid w:val="6FB53E4B"/>
    <w:rsid w:val="739E555E"/>
    <w:rsid w:val="79E306C6"/>
    <w:rsid w:val="7A127E1E"/>
    <w:rsid w:val="7E6C6CF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23"/>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4"/>
    <w:qFormat/>
    <w:uiPriority w:val="0"/>
    <w:pPr>
      <w:keepNext/>
      <w:keepLines/>
      <w:spacing w:before="260" w:after="260" w:line="415" w:lineRule="auto"/>
      <w:outlineLvl w:val="1"/>
    </w:pPr>
    <w:rPr>
      <w:rFonts w:ascii="Arial" w:hAnsi="Arial" w:eastAsia="黑体" w:cs="Arial"/>
      <w:b/>
      <w:bCs/>
      <w:sz w:val="32"/>
      <w:szCs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5"/>
    <w:semiHidden/>
    <w:unhideWhenUsed/>
    <w:qFormat/>
    <w:uiPriority w:val="99"/>
    <w:pPr>
      <w:jc w:val="left"/>
    </w:pPr>
  </w:style>
  <w:style w:type="paragraph" w:styleId="5">
    <w:name w:val="toc 3"/>
    <w:basedOn w:val="1"/>
    <w:next w:val="1"/>
    <w:unhideWhenUsed/>
    <w:qFormat/>
    <w:uiPriority w:val="39"/>
    <w:pPr>
      <w:widowControl/>
      <w:spacing w:after="100" w:line="259" w:lineRule="auto"/>
      <w:ind w:left="440"/>
      <w:jc w:val="left"/>
    </w:pPr>
    <w:rPr>
      <w:rFonts w:asciiTheme="minorHAnsi" w:hAnsiTheme="minorHAnsi" w:eastAsiaTheme="minorEastAsia"/>
      <w:kern w:val="0"/>
      <w:sz w:val="22"/>
      <w:szCs w:val="22"/>
    </w:rPr>
  </w:style>
  <w:style w:type="paragraph" w:styleId="6">
    <w:name w:val="Plain Text"/>
    <w:basedOn w:val="1"/>
    <w:link w:val="26"/>
    <w:autoRedefine/>
    <w:qFormat/>
    <w:uiPriority w:val="0"/>
    <w:rPr>
      <w:rFonts w:ascii="宋体" w:hAnsi="Courier New" w:eastAsiaTheme="minorEastAsia" w:cstheme="minorBidi"/>
      <w:szCs w:val="22"/>
    </w:rPr>
  </w:style>
  <w:style w:type="paragraph" w:styleId="7">
    <w:name w:val="Date"/>
    <w:basedOn w:val="1"/>
    <w:next w:val="1"/>
    <w:link w:val="27"/>
    <w:qFormat/>
    <w:uiPriority w:val="0"/>
    <w:pPr>
      <w:adjustRightInd w:val="0"/>
      <w:spacing w:line="360" w:lineRule="atLeast"/>
      <w:textAlignment w:val="baseline"/>
    </w:pPr>
    <w:rPr>
      <w:rFonts w:ascii="宋体" w:cs="宋体"/>
      <w:kern w:val="0"/>
      <w:sz w:val="24"/>
      <w:szCs w:val="24"/>
    </w:rPr>
  </w:style>
  <w:style w:type="paragraph" w:styleId="8">
    <w:name w:val="Balloon Text"/>
    <w:basedOn w:val="1"/>
    <w:link w:val="28"/>
    <w:semiHidden/>
    <w:unhideWhenUsed/>
    <w:qFormat/>
    <w:uiPriority w:val="99"/>
    <w:rPr>
      <w:sz w:val="18"/>
      <w:szCs w:val="18"/>
    </w:rPr>
  </w:style>
  <w:style w:type="paragraph" w:styleId="9">
    <w:name w:val="footer"/>
    <w:basedOn w:val="1"/>
    <w:link w:val="22"/>
    <w:autoRedefine/>
    <w:unhideWhenUsed/>
    <w:qFormat/>
    <w:uiPriority w:val="99"/>
    <w:pPr>
      <w:tabs>
        <w:tab w:val="center" w:pos="4153"/>
        <w:tab w:val="right" w:pos="8306"/>
      </w:tabs>
      <w:snapToGrid w:val="0"/>
      <w:jc w:val="left"/>
    </w:pPr>
    <w:rPr>
      <w:sz w:val="18"/>
      <w:szCs w:val="18"/>
    </w:rPr>
  </w:style>
  <w:style w:type="paragraph" w:styleId="10">
    <w:name w:val="header"/>
    <w:basedOn w:val="1"/>
    <w:link w:val="2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autoRedefine/>
    <w:unhideWhenUsed/>
    <w:qFormat/>
    <w:uiPriority w:val="39"/>
    <w:pPr>
      <w:widowControl/>
      <w:spacing w:after="100" w:line="259" w:lineRule="auto"/>
      <w:jc w:val="left"/>
    </w:pPr>
    <w:rPr>
      <w:rFonts w:asciiTheme="minorHAnsi" w:hAnsiTheme="minorHAnsi" w:eastAsiaTheme="minorEastAsia"/>
      <w:kern w:val="0"/>
      <w:sz w:val="22"/>
      <w:szCs w:val="22"/>
    </w:rPr>
  </w:style>
  <w:style w:type="paragraph" w:styleId="12">
    <w:name w:val="toc 2"/>
    <w:basedOn w:val="1"/>
    <w:next w:val="1"/>
    <w:autoRedefine/>
    <w:unhideWhenUsed/>
    <w:qFormat/>
    <w:uiPriority w:val="39"/>
    <w:pPr>
      <w:widowControl/>
      <w:spacing w:after="100" w:line="259" w:lineRule="auto"/>
      <w:ind w:left="220"/>
      <w:jc w:val="left"/>
    </w:pPr>
    <w:rPr>
      <w:rFonts w:asciiTheme="minorHAnsi" w:hAnsiTheme="minorHAnsi" w:eastAsiaTheme="minorEastAsia"/>
      <w:kern w:val="0"/>
      <w:sz w:val="22"/>
      <w:szCs w:val="22"/>
    </w:rPr>
  </w:style>
  <w:style w:type="paragraph" w:styleId="13">
    <w:name w:val="Body Text 2"/>
    <w:basedOn w:val="1"/>
    <w:link w:val="29"/>
    <w:autoRedefine/>
    <w:qFormat/>
    <w:uiPriority w:val="0"/>
    <w:pPr>
      <w:spacing w:after="120" w:line="480" w:lineRule="auto"/>
    </w:pPr>
  </w:style>
  <w:style w:type="paragraph" w:styleId="14">
    <w:name w:val="Normal (Web)"/>
    <w:basedOn w:val="1"/>
    <w:autoRedefine/>
    <w:semiHidden/>
    <w:unhideWhenUsed/>
    <w:qFormat/>
    <w:uiPriority w:val="99"/>
    <w:pPr>
      <w:widowControl/>
      <w:spacing w:before="100" w:beforeAutospacing="1" w:after="100" w:afterAutospacing="1"/>
      <w:jc w:val="left"/>
    </w:pPr>
    <w:rPr>
      <w:rFonts w:ascii="宋体" w:hAnsi="宋体" w:cs="宋体"/>
      <w:kern w:val="0"/>
      <w:sz w:val="24"/>
      <w:szCs w:val="24"/>
    </w:rPr>
  </w:style>
  <w:style w:type="paragraph" w:styleId="15">
    <w:name w:val="annotation subject"/>
    <w:basedOn w:val="4"/>
    <w:next w:val="4"/>
    <w:link w:val="30"/>
    <w:autoRedefine/>
    <w:semiHidden/>
    <w:unhideWhenUsed/>
    <w:qFormat/>
    <w:uiPriority w:val="99"/>
    <w:rPr>
      <w:b/>
      <w:bCs/>
    </w:rPr>
  </w:style>
  <w:style w:type="table" w:styleId="17">
    <w:name w:val="Table Grid"/>
    <w:basedOn w:val="16"/>
    <w:qFormat/>
    <w:uiPriority w:val="0"/>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Hyperlink"/>
    <w:basedOn w:val="18"/>
    <w:autoRedefine/>
    <w:unhideWhenUsed/>
    <w:qFormat/>
    <w:uiPriority w:val="99"/>
    <w:rPr>
      <w:color w:val="0000FF" w:themeColor="hyperlink"/>
      <w:u w:val="single"/>
      <w14:textFill>
        <w14:solidFill>
          <w14:schemeClr w14:val="hlink"/>
        </w14:solidFill>
      </w14:textFill>
    </w:rPr>
  </w:style>
  <w:style w:type="character" w:styleId="20">
    <w:name w:val="annotation reference"/>
    <w:basedOn w:val="18"/>
    <w:autoRedefine/>
    <w:semiHidden/>
    <w:unhideWhenUsed/>
    <w:qFormat/>
    <w:uiPriority w:val="99"/>
    <w:rPr>
      <w:sz w:val="21"/>
      <w:szCs w:val="21"/>
    </w:rPr>
  </w:style>
  <w:style w:type="character" w:customStyle="1" w:styleId="21">
    <w:name w:val="页眉 Char"/>
    <w:basedOn w:val="18"/>
    <w:link w:val="10"/>
    <w:autoRedefine/>
    <w:qFormat/>
    <w:uiPriority w:val="99"/>
    <w:rPr>
      <w:sz w:val="18"/>
      <w:szCs w:val="18"/>
    </w:rPr>
  </w:style>
  <w:style w:type="character" w:customStyle="1" w:styleId="22">
    <w:name w:val="页脚 Char"/>
    <w:basedOn w:val="18"/>
    <w:link w:val="9"/>
    <w:autoRedefine/>
    <w:qFormat/>
    <w:uiPriority w:val="99"/>
    <w:rPr>
      <w:sz w:val="18"/>
      <w:szCs w:val="18"/>
    </w:rPr>
  </w:style>
  <w:style w:type="character" w:customStyle="1" w:styleId="23">
    <w:name w:val="标题 1 Char"/>
    <w:basedOn w:val="18"/>
    <w:link w:val="2"/>
    <w:qFormat/>
    <w:uiPriority w:val="9"/>
    <w:rPr>
      <w:rFonts w:ascii="Times New Roman" w:hAnsi="Times New Roman" w:eastAsia="宋体" w:cs="Times New Roman"/>
      <w:b/>
      <w:bCs/>
      <w:kern w:val="44"/>
      <w:sz w:val="44"/>
      <w:szCs w:val="44"/>
    </w:rPr>
  </w:style>
  <w:style w:type="character" w:customStyle="1" w:styleId="24">
    <w:name w:val="标题 2 Char"/>
    <w:basedOn w:val="18"/>
    <w:link w:val="3"/>
    <w:autoRedefine/>
    <w:qFormat/>
    <w:uiPriority w:val="0"/>
    <w:rPr>
      <w:rFonts w:ascii="Arial" w:hAnsi="Arial" w:eastAsia="黑体" w:cs="Arial"/>
      <w:b/>
      <w:bCs/>
      <w:sz w:val="32"/>
      <w:szCs w:val="32"/>
    </w:rPr>
  </w:style>
  <w:style w:type="character" w:customStyle="1" w:styleId="25">
    <w:name w:val="批注文字 Char"/>
    <w:basedOn w:val="18"/>
    <w:link w:val="4"/>
    <w:semiHidden/>
    <w:qFormat/>
    <w:uiPriority w:val="99"/>
    <w:rPr>
      <w:rFonts w:ascii="Times New Roman" w:hAnsi="Times New Roman" w:eastAsia="宋体" w:cs="Times New Roman"/>
      <w:szCs w:val="21"/>
    </w:rPr>
  </w:style>
  <w:style w:type="character" w:customStyle="1" w:styleId="26">
    <w:name w:val="纯文本 Char"/>
    <w:basedOn w:val="18"/>
    <w:link w:val="6"/>
    <w:qFormat/>
    <w:uiPriority w:val="0"/>
    <w:rPr>
      <w:rFonts w:ascii="宋体" w:hAnsi="Courier New"/>
    </w:rPr>
  </w:style>
  <w:style w:type="character" w:customStyle="1" w:styleId="27">
    <w:name w:val="日期 Char"/>
    <w:basedOn w:val="18"/>
    <w:link w:val="7"/>
    <w:qFormat/>
    <w:uiPriority w:val="0"/>
    <w:rPr>
      <w:rFonts w:ascii="宋体" w:hAnsi="Times New Roman" w:eastAsia="宋体" w:cs="宋体"/>
      <w:kern w:val="0"/>
      <w:sz w:val="24"/>
      <w:szCs w:val="24"/>
    </w:rPr>
  </w:style>
  <w:style w:type="character" w:customStyle="1" w:styleId="28">
    <w:name w:val="批注框文本 Char"/>
    <w:basedOn w:val="18"/>
    <w:link w:val="8"/>
    <w:autoRedefine/>
    <w:semiHidden/>
    <w:qFormat/>
    <w:uiPriority w:val="99"/>
    <w:rPr>
      <w:rFonts w:ascii="Times New Roman" w:hAnsi="Times New Roman" w:eastAsia="宋体" w:cs="Times New Roman"/>
      <w:sz w:val="18"/>
      <w:szCs w:val="18"/>
    </w:rPr>
  </w:style>
  <w:style w:type="character" w:customStyle="1" w:styleId="29">
    <w:name w:val="正文文本 2 Char"/>
    <w:basedOn w:val="18"/>
    <w:link w:val="13"/>
    <w:autoRedefine/>
    <w:qFormat/>
    <w:uiPriority w:val="0"/>
    <w:rPr>
      <w:rFonts w:ascii="Times New Roman" w:hAnsi="Times New Roman" w:eastAsia="宋体" w:cs="Times New Roman"/>
      <w:szCs w:val="21"/>
    </w:rPr>
  </w:style>
  <w:style w:type="character" w:customStyle="1" w:styleId="30">
    <w:name w:val="批注主题 Char"/>
    <w:basedOn w:val="25"/>
    <w:link w:val="15"/>
    <w:autoRedefine/>
    <w:semiHidden/>
    <w:qFormat/>
    <w:uiPriority w:val="99"/>
    <w:rPr>
      <w:rFonts w:ascii="Times New Roman" w:hAnsi="Times New Roman" w:eastAsia="宋体" w:cs="Times New Roman"/>
      <w:b/>
      <w:bCs/>
      <w:szCs w:val="21"/>
    </w:rPr>
  </w:style>
  <w:style w:type="character" w:customStyle="1" w:styleId="31">
    <w:name w:val="纯文本 字符"/>
    <w:basedOn w:val="18"/>
    <w:autoRedefine/>
    <w:semiHidden/>
    <w:qFormat/>
    <w:uiPriority w:val="99"/>
    <w:rPr>
      <w:rFonts w:hAnsi="Courier New" w:cs="Courier New" w:asciiTheme="minorEastAsia"/>
      <w:szCs w:val="21"/>
    </w:rPr>
  </w:style>
  <w:style w:type="paragraph" w:styleId="32">
    <w:name w:val="List Paragraph"/>
    <w:basedOn w:val="1"/>
    <w:autoRedefine/>
    <w:qFormat/>
    <w:uiPriority w:val="34"/>
    <w:pPr>
      <w:ind w:firstLine="420" w:firstLineChars="200"/>
    </w:pPr>
  </w:style>
  <w:style w:type="paragraph" w:customStyle="1" w:styleId="33">
    <w:name w:val="修订1"/>
    <w:autoRedefine/>
    <w:hidden/>
    <w:semiHidden/>
    <w:qFormat/>
    <w:uiPriority w:val="99"/>
    <w:rPr>
      <w:rFonts w:ascii="Times New Roman" w:hAnsi="Times New Roman" w:eastAsia="宋体" w:cs="Times New Roman"/>
      <w:kern w:val="2"/>
      <w:sz w:val="21"/>
      <w:szCs w:val="21"/>
      <w:lang w:val="en-US" w:eastAsia="zh-CN" w:bidi="ar-SA"/>
    </w:rPr>
  </w:style>
  <w:style w:type="paragraph" w:customStyle="1" w:styleId="34">
    <w:name w:val="TOC 标题1"/>
    <w:basedOn w:val="2"/>
    <w:next w:val="1"/>
    <w:autoRedefine/>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 w:type="paragraph" w:customStyle="1" w:styleId="35">
    <w:name w:val="TOC Heading"/>
    <w:basedOn w:val="2"/>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6">
    <w:name w:val="qowt-font10-gbk"/>
    <w:basedOn w:val="18"/>
    <w:autoRedefine/>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Hewlett-Packard Company</Company>
  <Pages>7</Pages>
  <Words>3776</Words>
  <Characters>3857</Characters>
  <Lines>57</Lines>
  <Paragraphs>16</Paragraphs>
  <TotalTime>1</TotalTime>
  <ScaleCrop>false</ScaleCrop>
  <LinksUpToDate>false</LinksUpToDate>
  <CharactersWithSpaces>3857</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2020-03-18T03:22:00Z</dcterms:created>
  <dc:creator>赵璧</dc:creator>
  <cp:lastModifiedBy>lips</cp:lastModifiedBy>
  <cp:lastPrinted>2020-03-23T07:37:00Z</cp:lastPrinted>
  <dcterms:modified xsi:type="dcterms:W3CDTF">2024-12-12T07:49:29Z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EA636093397849099BF608A164FA0AE1_13</vt:lpwstr>
  </property>
</Properties>
</file>