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60" w:lineRule="atLeast"/>
        <w:ind w:right="0"/>
        <w:jc w:val="center"/>
        <w:rPr>
          <w:rFonts w:hint="default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袁州区财政局</w:t>
      </w: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  <w:t>行</w:t>
      </w:r>
      <w:r>
        <w:rPr>
          <w:rFonts w:hint="default" w:ascii="方正小标宋简体" w:hAnsi="方正小标宋简体" w:eastAsia="方正小标宋简体" w:cs="方正小标宋简体"/>
          <w:color w:val="333333"/>
          <w:sz w:val="44"/>
          <w:szCs w:val="44"/>
        </w:rPr>
        <w:t>政处罚决定书</w:t>
      </w:r>
    </w:p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60" w:lineRule="atLeast"/>
        <w:ind w:right="0"/>
        <w:jc w:val="center"/>
        <w:rPr>
          <w:rFonts w:hint="default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lang w:val="en-US" w:eastAsia="zh-CN"/>
        </w:rPr>
        <w:t>袁财购发【2020】8号</w:t>
      </w:r>
    </w:p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60" w:lineRule="atLeast"/>
        <w:ind w:left="0" w:right="0"/>
        <w:jc w:val="both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当事人：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江西圣宇咨询有限公司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60" w:lineRule="atLeast"/>
        <w:ind w:left="0" w:right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袁州区赣西汽车服务广场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2栋11-12号</w:t>
      </w:r>
    </w:p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60" w:lineRule="atLeast"/>
        <w:ind w:left="0" w:right="0" w:firstLine="645"/>
        <w:jc w:val="both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区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纪委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区监委第八纪检监察室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调查并经核实，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江西圣宇咨询有限公司代理的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袁州区三阳镇中心卫生院污水处理设备采购（项目编号：圣宇-YZ2019-001)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袁州区彬江镇中心卫生院污水处理设备采购项目（项目编号：圣宇-YZ2019-002)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袁州区楠木乡卫生院污水处理系统项目（项目编号：圣宇-YZ2019-008）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袁州区湖田镇卫生院环境污水处理项目（项目编号：圣宇-YZ2019-010）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袁州区金瑞镇中心卫生院污水处理系统项目（项目编号：圣宇-YZ2019-012）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五个污水处理设备采购项目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中，存在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供应商共同串通的行为，此行为属于《中华人民共和国政府采购法实施条例》第七十四条第七款“供应商与采购人或者采购代理机构之间、供应商相互之间，为谋求特定供应商中标、成交或者排斥其他供应商的其他串通行为”规定的情形。</w:t>
      </w:r>
    </w:p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60" w:lineRule="atLeast"/>
        <w:ind w:left="0" w:right="0" w:firstLine="64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现根据《中华人民共和国政府采购法》第七十二条“采购人、采购代理机构及其工作人员有下列情形之一的，构成犯罪的，依法追究刑事责任；尚不构成犯罪的，处以罚款，有违法所得的，并处没收违法所得，属于国家机关工作人员的，依法给予行政处分：（一）与供应商或者采购代理机构恶意串通的……”和《中华人民共和国政府采购法实施条例》第六十六条第二款“政府采购法第七十二条规定的罚款，数额为5万元以上25万元以下。”的规定，经讨论研究决定，我局对你单位作出如下处罚：</w:t>
      </w:r>
    </w:p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60" w:lineRule="atLeast"/>
        <w:ind w:left="0" w:right="0" w:firstLine="64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1、处以人民币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万元的罚款。</w:t>
      </w:r>
    </w:p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2、所罚款项自收到本处罚决定书后的十五日内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缴交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收款单位：袁州区财政局；预算级次：区级；收款国库：国家金库宜春市袁州区支库，并注明“103050199”款“其他罚没收入”项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60" w:lineRule="atLeast"/>
        <w:ind w:left="0" w:right="0" w:firstLine="64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当事人如不服本处罚决定，可在收到本处罚决定书之日起六十日内向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袁州区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人民政府或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宜春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市财政局申请行政复议；也可在六个月内向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袁州区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人民法院提起行政诉讼。</w:t>
      </w:r>
    </w:p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60" w:lineRule="atLeast"/>
        <w:ind w:left="0" w:right="0" w:firstLine="645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60" w:lineRule="atLeast"/>
        <w:ind w:left="0" w:right="0" w:firstLine="645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 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                              袁州区财政局</w:t>
      </w:r>
    </w:p>
    <w:p>
      <w:pPr>
        <w:pStyle w:val="2"/>
        <w:keepNext w:val="0"/>
        <w:keepLines w:val="0"/>
        <w:widowControl/>
        <w:suppressLineNumbers w:val="0"/>
        <w:spacing w:before="466" w:beforeAutospacing="0" w:after="0" w:afterAutospacing="0" w:line="560" w:lineRule="atLeast"/>
        <w:ind w:left="0" w:right="0" w:firstLine="5331" w:firstLineChars="190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 2020年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46A19"/>
    <w:rsid w:val="03C23F21"/>
    <w:rsid w:val="7834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2020-08-03T08:33:00Z</dcterms:created>
  <dc:creator>婷婷</dc:creator>
  <cp:lastModifiedBy>婷婷</cp:lastModifiedBy>
  <dcterms:modified xsi:type="dcterms:W3CDTF">2020-08-03T08:35:15Z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