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 w:name="_GoBack"/>
      <w:bookmarkStart w:id="0" w:name="_Toc35393834"/>
      <w:bookmarkStart w:id="1" w:name="_Toc28359044"/>
      <w:r>
        <w:rPr>
          <w:rFonts w:hint="eastAsia" w:ascii="华文中宋" w:hAnsi="华文中宋" w:eastAsia="华文中宋"/>
        </w:rPr>
        <w:t>监督检查处理结果公告</w:t>
      </w:r>
      <w:bookmarkEnd w:id="2"/>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中大－YC2010-001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宜春幼儿师范高等专科学校电钢琴教室3间设施设备采购项目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宜春幼儿师范高等专科学校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幼儿师范高等专科学校电钢琴教室3间设施设备采购项目，编号：中大－YC2010-001，采用竞争性谈判采购方式；2020年9月9日公示采购结果，成交供应商为南昌市天音乐器有限公司，成交金额888000.00元；2020年9月11日发出中标通知书；2020年9月28日采购人与成交供应商签订采购合同，至2022年8月31日，该项目未公告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该项目为货物类采购，主要标的物为电钢琴153台，采购价格705330元，占项目成交金额79.43%，该项目应当以电钢琴作为开展政府采购方式选择的主要考虑因素。采购人提交情况说明：虽然是市面上存在一定的存量，但是也有比较高的技术要求；同时竞争性谈判有二次报价，有利于学校采购到最低价的优质产品和服务。经查，电钢琴是一种电声乐器，在二十世纪六七十年代兴起、八十年代至九十年代早期流行的一种用于在某些场合代替钢琴的乐器，从兴起至今有50年以上、流行时期至今已有30年以上的制造历程，是成熟的工业产品，规格、标准统一，货源充足；从成交供应商三次报价来看，成交价格优惠率2.7%，电钢琴成交价格优惠每台1.5%；价格变化幅度微小。采购人以“比较高的技术要求”、“二次报价”来采购低价优质产品和服务，没有说服力，不符合竞争性谈判采购方式要求，依法可以选择询价采购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政府采购法》第四十六条，采购人与中标、成交供应商应当在中标、成交通知书发出之日起三十日内，按照采购文件确定的事项签订政府采购合同。第四十七条，政府采购项目的采购合同自签订之日起七个工作日内，采购人应当将合同副本报同级政府采购监督管理部门和有关部门备案。《政府采购法实施条例》第五十条，采购人应当自政府采购合同签订之日起2个工作日内，将政府采购合同在省级以上人民政府财政部门指定的媒体上公告，但政府采购合同中涉及国家秘密、商业秘密的内容除外。《政府采购非招标采购方式管理办法》（财政部令第74号）第十八条，采购人或者采购代理机构应当在成交供应商确定后2个工作日内，在省级以上财政部门指定的媒体上公告成交结果，同时向成交供应商发出成交通知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幼儿师范高等专科学校自2020年9月9日公示采购结果，9月11日向成交供应商发出成交通知书，未在公示采购结果的同时向成交供应商发出成交通知书；在财政部门开展对该项目监督检查后，2022年9月29日将采购合同作为配合调查的材料提交，两年多的时间内未向财政部门备案并公告采购合同，均违反相关法规规定。</w:t>
      </w:r>
    </w:p>
    <w:p>
      <w:pPr>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政府采购法》第七十一条第一款；《政府采购法实施条例》第六十七条第一款第（七）、（八）项；《政府采购非招标采购方式管理办法》第五十二条第一款第（四）项之规定，本机关决定，责令宜春幼儿师范高等专科学校限期改正。</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rPr>
          <w:sz w:val="28"/>
          <w:szCs w:val="28"/>
        </w:rPr>
      </w:pPr>
    </w:p>
    <w:p>
      <w:pPr>
        <w:rPr>
          <w:sz w:val="28"/>
          <w:szCs w:val="28"/>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rPr>
          <w:rFonts w:ascii="仿宋" w:hAnsi="仿宋" w:eastAsia="仿宋"/>
          <w:sz w:val="28"/>
          <w:szCs w:val="28"/>
        </w:rPr>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w:t>
      </w:r>
    </w:p>
    <w:p>
      <w:pPr>
        <w:widowControl/>
        <w:ind w:right="300"/>
        <w:jc w:val="right"/>
        <w:rPr>
          <w:rFonts w:ascii="仿宋" w:hAnsi="仿宋" w:eastAsia="仿宋"/>
          <w:sz w:val="28"/>
          <w:szCs w:val="28"/>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60964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1237</Words>
  <Characters>1315</Characters>
  <Lines>57</Lines>
  <Paragraphs>16</Paragraphs>
  <TotalTime>1</TotalTime>
  <ScaleCrop>false</ScaleCrop>
  <LinksUpToDate>false</LinksUpToDate>
  <CharactersWithSpaces>1401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2023-01-12T07:23:34Z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83870C5ACEF84B3F862161AB9D9A170B</vt:lpwstr>
  </property>
</Properties>
</file>